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20024" w14:textId="28C044D0" w:rsidR="00244D86" w:rsidRPr="00024319" w:rsidRDefault="00244D86" w:rsidP="00244D86">
      <w:pPr>
        <w:jc w:val="center"/>
        <w:rPr>
          <w:b/>
          <w:bCs/>
        </w:rPr>
      </w:pPr>
      <w:r w:rsidRPr="00024319">
        <w:rPr>
          <w:b/>
          <w:bCs/>
        </w:rPr>
        <w:t>OFFICE OF TECHNOLOGY, INNOVATION, AND INDUSTRY RELATIONS</w:t>
      </w:r>
      <w:r>
        <w:rPr>
          <w:b/>
          <w:bCs/>
        </w:rPr>
        <w:t xml:space="preserve"> (OTIIR)</w:t>
      </w:r>
    </w:p>
    <w:p w14:paraId="67692789" w14:textId="21D9A9CB" w:rsidR="00546FBE" w:rsidRDefault="00546FBE" w:rsidP="00546FBE">
      <w:pPr>
        <w:jc w:val="center"/>
        <w:rPr>
          <w:b/>
          <w:bCs/>
        </w:rPr>
      </w:pPr>
      <w:r>
        <w:rPr>
          <w:b/>
          <w:bCs/>
        </w:rPr>
        <w:t>ANNUAL REPORT FY 20</w:t>
      </w:r>
      <w:r w:rsidR="00244D86">
        <w:rPr>
          <w:b/>
          <w:bCs/>
        </w:rPr>
        <w:t>20-</w:t>
      </w:r>
      <w:r>
        <w:rPr>
          <w:b/>
          <w:bCs/>
        </w:rPr>
        <w:t>2</w:t>
      </w:r>
      <w:r w:rsidR="00244D86">
        <w:rPr>
          <w:b/>
          <w:bCs/>
        </w:rPr>
        <w:t>0</w:t>
      </w:r>
      <w:r>
        <w:rPr>
          <w:b/>
          <w:bCs/>
        </w:rPr>
        <w:t>2</w:t>
      </w:r>
      <w:r w:rsidR="00244D86">
        <w:rPr>
          <w:b/>
          <w:bCs/>
        </w:rPr>
        <w:t>1</w:t>
      </w:r>
    </w:p>
    <w:p w14:paraId="0BAA5763" w14:textId="77777777" w:rsidR="00024319" w:rsidRDefault="00024319" w:rsidP="002E48CC"/>
    <w:p w14:paraId="3A5664B7" w14:textId="11ABF74D" w:rsidR="002E48CC" w:rsidRDefault="002E48CC" w:rsidP="002E48CC">
      <w:r>
        <w:t>The Office of Technology, Innovation, and Industry Relations (OTIIR) connects U</w:t>
      </w:r>
      <w:r w:rsidR="00DA6172">
        <w:t xml:space="preserve">niversity of </w:t>
      </w:r>
      <w:r>
        <w:t>C</w:t>
      </w:r>
      <w:r w:rsidR="00DA6172">
        <w:t>alifornia at</w:t>
      </w:r>
      <w:r>
        <w:t xml:space="preserve"> Merced</w:t>
      </w:r>
      <w:r w:rsidR="00DA6172">
        <w:t xml:space="preserve"> (UCM)</w:t>
      </w:r>
      <w:r>
        <w:t xml:space="preserve"> faculty, students, and alumni with business partners to commercialize their innovations, develop new research, start new ventures, and strengthen and diversify the economy.  </w:t>
      </w:r>
      <w:r w:rsidR="005455E1">
        <w:t xml:space="preserve">Department </w:t>
      </w:r>
      <w:r>
        <w:t xml:space="preserve">goals are to: </w:t>
      </w:r>
    </w:p>
    <w:p w14:paraId="5E361865" w14:textId="77777777" w:rsidR="00354362" w:rsidRDefault="00354362" w:rsidP="002E48CC"/>
    <w:p w14:paraId="1F6295FA" w14:textId="67A779E3" w:rsidR="002E48CC" w:rsidRDefault="00546FBE" w:rsidP="002E48CC">
      <w:pPr>
        <w:pStyle w:val="ListParagraph"/>
        <w:numPr>
          <w:ilvl w:val="0"/>
          <w:numId w:val="1"/>
        </w:numPr>
        <w:rPr>
          <w:rFonts w:eastAsia="Times New Roman"/>
        </w:rPr>
      </w:pPr>
      <w:r>
        <w:rPr>
          <w:rFonts w:eastAsia="Times New Roman"/>
        </w:rPr>
        <w:t>B</w:t>
      </w:r>
      <w:r w:rsidR="002E48CC">
        <w:rPr>
          <w:rFonts w:eastAsia="Times New Roman"/>
        </w:rPr>
        <w:t xml:space="preserve">uild infrastructure that supports innovation, </w:t>
      </w:r>
      <w:r>
        <w:rPr>
          <w:rFonts w:eastAsia="Times New Roman"/>
        </w:rPr>
        <w:t>entrepreneurship,</w:t>
      </w:r>
      <w:r w:rsidR="002E48CC">
        <w:rPr>
          <w:rFonts w:eastAsia="Times New Roman"/>
        </w:rPr>
        <w:t xml:space="preserve"> </w:t>
      </w:r>
      <w:r w:rsidR="00354362">
        <w:rPr>
          <w:rFonts w:eastAsia="Times New Roman"/>
        </w:rPr>
        <w:t>and</w:t>
      </w:r>
      <w:r w:rsidR="002E48CC">
        <w:rPr>
          <w:rFonts w:eastAsia="Times New Roman"/>
        </w:rPr>
        <w:t xml:space="preserve"> tech</w:t>
      </w:r>
      <w:r w:rsidR="00354362">
        <w:rPr>
          <w:rFonts w:eastAsia="Times New Roman"/>
        </w:rPr>
        <w:t>nology</w:t>
      </w:r>
      <w:r w:rsidR="002E48CC">
        <w:rPr>
          <w:rFonts w:eastAsia="Times New Roman"/>
        </w:rPr>
        <w:t xml:space="preserve"> commercialization </w:t>
      </w:r>
      <w:r>
        <w:rPr>
          <w:rFonts w:eastAsia="Times New Roman"/>
        </w:rPr>
        <w:t>activities.</w:t>
      </w:r>
      <w:r w:rsidR="002E48CC">
        <w:rPr>
          <w:rFonts w:eastAsia="Times New Roman"/>
        </w:rPr>
        <w:t xml:space="preserve"> </w:t>
      </w:r>
    </w:p>
    <w:p w14:paraId="242054F7" w14:textId="495A07EC" w:rsidR="002E48CC" w:rsidRDefault="00546FBE" w:rsidP="002E48CC">
      <w:pPr>
        <w:pStyle w:val="ListParagraph"/>
        <w:numPr>
          <w:ilvl w:val="0"/>
          <w:numId w:val="1"/>
        </w:numPr>
        <w:rPr>
          <w:rFonts w:eastAsia="Times New Roman"/>
        </w:rPr>
      </w:pPr>
      <w:r>
        <w:rPr>
          <w:rFonts w:eastAsia="Times New Roman"/>
        </w:rPr>
        <w:t>P</w:t>
      </w:r>
      <w:r w:rsidR="002E48CC">
        <w:rPr>
          <w:rFonts w:eastAsia="Times New Roman"/>
        </w:rPr>
        <w:t>romote disclos</w:t>
      </w:r>
      <w:r w:rsidR="00354362">
        <w:rPr>
          <w:rFonts w:eastAsia="Times New Roman"/>
        </w:rPr>
        <w:t>ure of</w:t>
      </w:r>
      <w:r w:rsidR="002E48CC">
        <w:rPr>
          <w:rFonts w:eastAsia="Times New Roman"/>
        </w:rPr>
        <w:t xml:space="preserve"> discoveries first</w:t>
      </w:r>
      <w:r w:rsidR="00354362">
        <w:rPr>
          <w:rFonts w:eastAsia="Times New Roman"/>
        </w:rPr>
        <w:t xml:space="preserve"> and</w:t>
      </w:r>
      <w:r w:rsidR="002E48CC">
        <w:rPr>
          <w:rFonts w:eastAsia="Times New Roman"/>
        </w:rPr>
        <w:t xml:space="preserve"> publish</w:t>
      </w:r>
      <w:r w:rsidR="00DA6172">
        <w:rPr>
          <w:rFonts w:eastAsia="Times New Roman"/>
        </w:rPr>
        <w:t>ing</w:t>
      </w:r>
      <w:r w:rsidR="002E48CC">
        <w:rPr>
          <w:rFonts w:eastAsia="Times New Roman"/>
        </w:rPr>
        <w:t xml:space="preserve"> second and encourage dialogue on how research can be applied more broadly to benefit </w:t>
      </w:r>
      <w:r>
        <w:rPr>
          <w:rFonts w:eastAsia="Times New Roman"/>
        </w:rPr>
        <w:t>society.</w:t>
      </w:r>
    </w:p>
    <w:p w14:paraId="0768439A" w14:textId="07A90662" w:rsidR="002E48CC" w:rsidRDefault="00546FBE" w:rsidP="002E48CC">
      <w:pPr>
        <w:pStyle w:val="ListParagraph"/>
        <w:numPr>
          <w:ilvl w:val="0"/>
          <w:numId w:val="1"/>
        </w:numPr>
        <w:rPr>
          <w:rFonts w:eastAsia="Times New Roman"/>
        </w:rPr>
      </w:pPr>
      <w:r>
        <w:rPr>
          <w:rFonts w:eastAsia="Times New Roman"/>
        </w:rPr>
        <w:t>Facilitate</w:t>
      </w:r>
      <w:r w:rsidR="002E48CC">
        <w:rPr>
          <w:rFonts w:eastAsia="Times New Roman"/>
        </w:rPr>
        <w:t xml:space="preserve"> monthly forums (virtual &amp; in-person) where early-stage entrepreneurs can get basic legal assistance and engage with industry research </w:t>
      </w:r>
      <w:r>
        <w:rPr>
          <w:rFonts w:eastAsia="Times New Roman"/>
        </w:rPr>
        <w:t>partners.</w:t>
      </w:r>
      <w:r w:rsidR="002E48CC">
        <w:rPr>
          <w:rFonts w:eastAsia="Times New Roman"/>
        </w:rPr>
        <w:t xml:space="preserve"> </w:t>
      </w:r>
    </w:p>
    <w:p w14:paraId="45F62371" w14:textId="4A76EDD8" w:rsidR="002E48CC" w:rsidRDefault="00546FBE" w:rsidP="002E48CC">
      <w:pPr>
        <w:pStyle w:val="ListParagraph"/>
        <w:numPr>
          <w:ilvl w:val="0"/>
          <w:numId w:val="1"/>
        </w:numPr>
        <w:rPr>
          <w:rFonts w:eastAsia="Times New Roman"/>
        </w:rPr>
      </w:pPr>
      <w:r>
        <w:rPr>
          <w:rFonts w:eastAsia="Times New Roman"/>
        </w:rPr>
        <w:t>S</w:t>
      </w:r>
      <w:r w:rsidR="002E48CC">
        <w:rPr>
          <w:rFonts w:eastAsia="Times New Roman"/>
        </w:rPr>
        <w:t xml:space="preserve">ecure permanent funding to recruit and retain </w:t>
      </w:r>
      <w:r w:rsidR="00DA6172">
        <w:rPr>
          <w:rFonts w:eastAsia="Times New Roman"/>
        </w:rPr>
        <w:t>s</w:t>
      </w:r>
      <w:r w:rsidR="002E48CC">
        <w:rPr>
          <w:rFonts w:eastAsia="Times New Roman"/>
        </w:rPr>
        <w:t xml:space="preserve">ubject </w:t>
      </w:r>
      <w:r w:rsidR="00DA6172">
        <w:rPr>
          <w:rFonts w:eastAsia="Times New Roman"/>
        </w:rPr>
        <w:t>m</w:t>
      </w:r>
      <w:r w:rsidR="002E48CC">
        <w:rPr>
          <w:rFonts w:eastAsia="Times New Roman"/>
        </w:rPr>
        <w:t xml:space="preserve">atter </w:t>
      </w:r>
      <w:r w:rsidR="00DA6172">
        <w:rPr>
          <w:rFonts w:eastAsia="Times New Roman"/>
        </w:rPr>
        <w:t>e</w:t>
      </w:r>
      <w:r w:rsidR="002E48CC">
        <w:rPr>
          <w:rFonts w:eastAsia="Times New Roman"/>
        </w:rPr>
        <w:t xml:space="preserve">xperts to double our support </w:t>
      </w:r>
      <w:r>
        <w:rPr>
          <w:rFonts w:eastAsia="Times New Roman"/>
        </w:rPr>
        <w:t>capacity.</w:t>
      </w:r>
      <w:r w:rsidR="002E48CC">
        <w:rPr>
          <w:rFonts w:eastAsia="Times New Roman"/>
        </w:rPr>
        <w:t xml:space="preserve"> </w:t>
      </w:r>
    </w:p>
    <w:p w14:paraId="0EBA7E3F" w14:textId="4E830368" w:rsidR="002E48CC" w:rsidRDefault="00546FBE" w:rsidP="002E48CC">
      <w:pPr>
        <w:pStyle w:val="ListParagraph"/>
        <w:numPr>
          <w:ilvl w:val="0"/>
          <w:numId w:val="1"/>
        </w:numPr>
        <w:rPr>
          <w:rFonts w:eastAsia="Times New Roman"/>
        </w:rPr>
      </w:pPr>
      <w:r>
        <w:rPr>
          <w:rFonts w:eastAsia="Times New Roman"/>
        </w:rPr>
        <w:t>I</w:t>
      </w:r>
      <w:r w:rsidR="002E48CC">
        <w:rPr>
          <w:rFonts w:eastAsia="Times New Roman"/>
        </w:rPr>
        <w:t>nvest in technology</w:t>
      </w:r>
      <w:r w:rsidR="00DA6172">
        <w:rPr>
          <w:rFonts w:eastAsia="Times New Roman"/>
        </w:rPr>
        <w:t xml:space="preserve"> and </w:t>
      </w:r>
      <w:r w:rsidR="002E48CC">
        <w:rPr>
          <w:rFonts w:eastAsia="Times New Roman"/>
        </w:rPr>
        <w:t xml:space="preserve">software solutions to fast track the search for market viability and commercialization opportunities; and </w:t>
      </w:r>
    </w:p>
    <w:p w14:paraId="2389E259" w14:textId="47B3F72F" w:rsidR="002E48CC" w:rsidRDefault="00546FBE" w:rsidP="002E48CC">
      <w:pPr>
        <w:pStyle w:val="ListParagraph"/>
        <w:numPr>
          <w:ilvl w:val="0"/>
          <w:numId w:val="1"/>
        </w:numPr>
        <w:rPr>
          <w:rFonts w:eastAsia="Times New Roman"/>
        </w:rPr>
      </w:pPr>
      <w:r>
        <w:rPr>
          <w:rFonts w:eastAsia="Times New Roman"/>
        </w:rPr>
        <w:t>D</w:t>
      </w:r>
      <w:r w:rsidR="002E48CC">
        <w:rPr>
          <w:rFonts w:eastAsia="Times New Roman"/>
        </w:rPr>
        <w:t>evelop relationships with industry partners who are interested in investing in the research at UCM</w:t>
      </w:r>
    </w:p>
    <w:p w14:paraId="7BBD314B" w14:textId="77777777" w:rsidR="002E48CC" w:rsidRDefault="002E48CC" w:rsidP="002E48CC"/>
    <w:p w14:paraId="54AD6137" w14:textId="77777777" w:rsidR="007607E4" w:rsidRDefault="002E48CC" w:rsidP="002E48CC">
      <w:r>
        <w:t xml:space="preserve">Building an infrastructure that supports innovation, entrepreneurship and technology commercialization activities is a key part of OTIIR.  This past year, we had eight invention disclosures, ten US patent filings, two US patent issues, and approximately six agreements were executed.  </w:t>
      </w:r>
    </w:p>
    <w:p w14:paraId="2FB2A97D" w14:textId="77777777" w:rsidR="007607E4" w:rsidRDefault="007607E4" w:rsidP="002E48CC"/>
    <w:p w14:paraId="32F59E8A" w14:textId="237AB39D" w:rsidR="00796AB5" w:rsidRDefault="00796AB5" w:rsidP="002E48CC">
      <w:r>
        <w:rPr>
          <w:noProof/>
        </w:rPr>
        <w:drawing>
          <wp:inline distT="0" distB="0" distL="0" distR="0" wp14:anchorId="72399FA3" wp14:editId="18CC5430">
            <wp:extent cx="2474259" cy="1832642"/>
            <wp:effectExtent l="0" t="0" r="254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00ED64A9">
        <w:tab/>
      </w:r>
      <w:r w:rsidR="00D37CA5">
        <w:tab/>
      </w:r>
      <w:r w:rsidR="00D37CA5">
        <w:tab/>
      </w:r>
      <w:r w:rsidR="00D37CA5">
        <w:tab/>
      </w:r>
      <w:r w:rsidR="00ED64A9">
        <w:rPr>
          <w:noProof/>
        </w:rPr>
        <w:drawing>
          <wp:inline distT="0" distB="0" distL="0" distR="0" wp14:anchorId="4966DE0C" wp14:editId="0F58885C">
            <wp:extent cx="1759644" cy="1793875"/>
            <wp:effectExtent l="0" t="0" r="12065" b="158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CB8F1DE" w14:textId="71C68635" w:rsidR="002E48CC" w:rsidRDefault="002E48CC" w:rsidP="002E48CC"/>
    <w:p w14:paraId="67B576E7" w14:textId="56D1A319" w:rsidR="008006F5" w:rsidRDefault="008006F5" w:rsidP="008006F5">
      <w:r>
        <w:t xml:space="preserve">Currently, there are 26 active intellectual property cases with one provisional application and 25 non-provisional applications.  </w:t>
      </w:r>
      <w:r w:rsidR="00ED64A9">
        <w:t>UCM’s commitment to</w:t>
      </w:r>
      <w:r>
        <w:t xml:space="preserve"> grow the</w:t>
      </w:r>
      <w:r w:rsidR="00ED64A9">
        <w:t xml:space="preserve">se </w:t>
      </w:r>
      <w:r>
        <w:t>number</w:t>
      </w:r>
      <w:r w:rsidR="00ED64A9">
        <w:t>s</w:t>
      </w:r>
      <w:r>
        <w:t xml:space="preserve"> </w:t>
      </w:r>
      <w:r w:rsidR="00ED64A9">
        <w:t>are necessary</w:t>
      </w:r>
      <w:r>
        <w:t xml:space="preserve"> to build</w:t>
      </w:r>
      <w:r w:rsidR="00ED64A9">
        <w:t>ing</w:t>
      </w:r>
      <w:r>
        <w:t xml:space="preserve"> this infrastructure.</w:t>
      </w:r>
    </w:p>
    <w:p w14:paraId="18DDC844" w14:textId="77777777" w:rsidR="00D37CA5" w:rsidRDefault="00D37CA5" w:rsidP="002E48CC"/>
    <w:p w14:paraId="0E23CAE3" w14:textId="37CDCFD5" w:rsidR="002E48CC" w:rsidRDefault="00DA6172" w:rsidP="002E48CC">
      <w:r>
        <w:t>E</w:t>
      </w:r>
      <w:r w:rsidR="002E48CC">
        <w:t>ngag</w:t>
      </w:r>
      <w:r>
        <w:t>ing</w:t>
      </w:r>
      <w:r w:rsidR="002E48CC">
        <w:t xml:space="preserve"> with faculty and students to establish the expectation of disclos</w:t>
      </w:r>
      <w:r>
        <w:t>ing</w:t>
      </w:r>
      <w:r w:rsidR="002E48CC">
        <w:t xml:space="preserve"> their discoveries first and publish</w:t>
      </w:r>
      <w:r>
        <w:t>ing</w:t>
      </w:r>
      <w:r w:rsidR="002E48CC">
        <w:t xml:space="preserve"> second</w:t>
      </w:r>
      <w:r>
        <w:t xml:space="preserve"> is a necessary step in building th</w:t>
      </w:r>
      <w:r w:rsidR="00642620">
        <w:t>is</w:t>
      </w:r>
      <w:r>
        <w:t xml:space="preserve"> infrastructure</w:t>
      </w:r>
      <w:r w:rsidR="002E48CC">
        <w:t>.  This engagement can also encourage dialogues on how research can be applied more broadly to benefit society.  This past year, there w</w:t>
      </w:r>
      <w:r w:rsidR="00642620">
        <w:t>as</w:t>
      </w:r>
      <w:r w:rsidR="002E48CC">
        <w:t xml:space="preserve"> outreach and engagement with approximately 55 faculty members, 25 graduate students, and 75 undergraduate students.  Future outreach and engagement with </w:t>
      </w:r>
      <w:r w:rsidR="00642620">
        <w:t xml:space="preserve">additional </w:t>
      </w:r>
      <w:r w:rsidR="002E48CC">
        <w:t xml:space="preserve">faculty and students is </w:t>
      </w:r>
      <w:r w:rsidR="00642620">
        <w:t xml:space="preserve">planned </w:t>
      </w:r>
      <w:r w:rsidR="002E48CC">
        <w:t xml:space="preserve">to continue to </w:t>
      </w:r>
      <w:r w:rsidR="00642620">
        <w:t>develop</w:t>
      </w:r>
      <w:r w:rsidR="002E48CC">
        <w:t xml:space="preserve"> this infrastructure.</w:t>
      </w:r>
    </w:p>
    <w:p w14:paraId="0E2B160C" w14:textId="77777777" w:rsidR="002E48CC" w:rsidRDefault="002E48CC" w:rsidP="002E48CC"/>
    <w:p w14:paraId="25F98AF3" w14:textId="74D217D1" w:rsidR="002E48CC" w:rsidRDefault="00642620" w:rsidP="002E48CC">
      <w:r>
        <w:lastRenderedPageBreak/>
        <w:t>O</w:t>
      </w:r>
      <w:r w:rsidR="002E48CC">
        <w:t xml:space="preserve">utreach and engagement </w:t>
      </w:r>
      <w:r w:rsidR="00546FBE">
        <w:t>include</w:t>
      </w:r>
      <w:r w:rsidR="002E48CC">
        <w:t xml:space="preserve"> holding monthly forums (virtual &amp; in-person) where early-stage entrepreneurs can get basic legal assistance and engage with industry research partners.  This past year, OTIIR coordinated with Nixon Peabody to facilitate a webinar that educated faculty and students about corporate formation.  Continued outreach will include “Lunch &amp; Learn” webinar series to educate faculty and students about intellectual property, licensing, funding, start-up formation, and commercialization of intellectual property.</w:t>
      </w:r>
    </w:p>
    <w:p w14:paraId="715455C8" w14:textId="77777777" w:rsidR="002E48CC" w:rsidRDefault="002E48CC" w:rsidP="002E48CC"/>
    <w:p w14:paraId="4B6BBAC3" w14:textId="518D73CE" w:rsidR="002E48CC" w:rsidRDefault="002E48CC" w:rsidP="002E48CC">
      <w:r>
        <w:t xml:space="preserve">The ability to </w:t>
      </w:r>
      <w:r w:rsidR="00642620">
        <w:t xml:space="preserve">create the </w:t>
      </w:r>
      <w:r>
        <w:t>infrastructure to support innovation, entrepreneurship and technology commercialization activities and engage faculty and student is not possible without the necessary funding.  Thus, OTIIR plans to secure permanent funding to recruit and retain subject matter experts to double our support capacity.  This is to also support the anticipated surge in research activity due to the push to get to R1 by 2030.  OTIIR intends to create a Proof of Concept (POC) program as well as scale current campus staffing infrastructure to get to a state of readiness consistent with that of a mature campus.</w:t>
      </w:r>
    </w:p>
    <w:p w14:paraId="7EE8B443" w14:textId="77777777" w:rsidR="002E48CC" w:rsidRDefault="002E48CC" w:rsidP="002E48CC"/>
    <w:p w14:paraId="40585DFC" w14:textId="0B38994C" w:rsidR="002E48CC" w:rsidRDefault="002E48CC" w:rsidP="002E48CC">
      <w:r>
        <w:t>Fund</w:t>
      </w:r>
      <w:r w:rsidR="00546FBE">
        <w:t>ing</w:t>
      </w:r>
      <w:r>
        <w:t xml:space="preserve"> will also be used to invest in technology and software solutions to fast track the search for market viability and commercialization opportunities.  Subscriptions to necessary programs and software solutions, such as In</w:t>
      </w:r>
      <w:r w:rsidR="00546FBE">
        <w:t>-</w:t>
      </w:r>
      <w:r>
        <w:t>Part &amp; TechConnect which require annual licenses, can be used for marketing and licensing of UCM technology.</w:t>
      </w:r>
    </w:p>
    <w:p w14:paraId="191A58E7" w14:textId="77777777" w:rsidR="002E48CC" w:rsidRDefault="002E48CC" w:rsidP="002E48CC"/>
    <w:p w14:paraId="141EAD0E" w14:textId="5497B807" w:rsidR="002E48CC" w:rsidRDefault="002E48CC" w:rsidP="00901F29">
      <w:r>
        <w:t xml:space="preserve">Lastly, OTIIR aims to develop relationships with industry partners who are interested in investing in the research at UCM.  </w:t>
      </w:r>
      <w:r w:rsidR="00480D02">
        <w:t xml:space="preserve">This </w:t>
      </w:r>
      <w:r w:rsidR="00B41CE3">
        <w:t>has been and continues to be</w:t>
      </w:r>
      <w:r w:rsidR="00480D02">
        <w:t xml:space="preserve"> accomplished through multiple agreements such as non-disclosure agreements, intent-to-use, </w:t>
      </w:r>
      <w:r w:rsidR="00546FBE">
        <w:t>license,</w:t>
      </w:r>
      <w:r w:rsidR="00480D02">
        <w:t xml:space="preserve"> and option to license agreements</w:t>
      </w:r>
      <w:r w:rsidR="003F5C71">
        <w:t xml:space="preserve">.  Additionally, OTIIR participates in various programs that encourage faculty and students to engage with industry partners.  For example, thirteen teams in last year’s </w:t>
      </w:r>
      <w:r>
        <w:t xml:space="preserve">NSF </w:t>
      </w:r>
      <w:proofErr w:type="spellStart"/>
      <w:r>
        <w:t>i</w:t>
      </w:r>
      <w:proofErr w:type="spellEnd"/>
      <w:r>
        <w:t>-Corps Connectors</w:t>
      </w:r>
      <w:r w:rsidR="003F5C71">
        <w:t xml:space="preserve"> participated in</w:t>
      </w:r>
      <w:r>
        <w:t xml:space="preserve"> Innovate 2 Grow, Engineering Service </w:t>
      </w:r>
      <w:r w:rsidR="00546FBE">
        <w:t>Learning,</w:t>
      </w:r>
      <w:r>
        <w:t xml:space="preserve"> and other classes</w:t>
      </w:r>
      <w:r w:rsidR="003F5C71">
        <w:t>.</w:t>
      </w:r>
      <w:r>
        <w:t xml:space="preserve"> </w:t>
      </w:r>
      <w:r w:rsidR="003F5C71">
        <w:t xml:space="preserve">This semester, UCM has </w:t>
      </w:r>
      <w:r>
        <w:t xml:space="preserve">12 faculty </w:t>
      </w:r>
      <w:r w:rsidR="003F5C71">
        <w:t xml:space="preserve">members </w:t>
      </w:r>
      <w:r>
        <w:t>and 286 students</w:t>
      </w:r>
      <w:r w:rsidR="003F5C71">
        <w:t xml:space="preserve"> participating</w:t>
      </w:r>
      <w:r>
        <w:t>.</w:t>
      </w:r>
      <w:r w:rsidR="003F5C71">
        <w:t xml:space="preserve">  Additionally, </w:t>
      </w:r>
      <w:r>
        <w:t>Blackstone Launch</w:t>
      </w:r>
      <w:r w:rsidR="00546FBE">
        <w:t>-</w:t>
      </w:r>
      <w:r>
        <w:t>Pad</w:t>
      </w:r>
      <w:r w:rsidR="003F5C71">
        <w:t xml:space="preserve"> includes an</w:t>
      </w:r>
      <w:r>
        <w:t xml:space="preserve"> Innovation + Design Hub Speaker Series, Workshops, </w:t>
      </w:r>
      <w:r w:rsidR="003F5C71">
        <w:t xml:space="preserve">and </w:t>
      </w:r>
      <w:r>
        <w:t>Ideas Competitions</w:t>
      </w:r>
      <w:r w:rsidR="003F5C71">
        <w:t xml:space="preserve">.  At the Blackstone </w:t>
      </w:r>
      <w:r>
        <w:t>Annual Conference</w:t>
      </w:r>
      <w:r w:rsidR="003F5C71">
        <w:t>, UCM will be represented by</w:t>
      </w:r>
      <w:r>
        <w:t xml:space="preserve"> </w:t>
      </w:r>
      <w:r w:rsidR="00B41CE3">
        <w:t>eight</w:t>
      </w:r>
      <w:r>
        <w:t xml:space="preserve"> student entrepreneurs </w:t>
      </w:r>
      <w:r w:rsidR="003F5C71">
        <w:t>wh</w:t>
      </w:r>
      <w:r w:rsidR="00B41CE3">
        <w:t>o</w:t>
      </w:r>
      <w:r w:rsidR="003F5C71">
        <w:t xml:space="preserve"> will </w:t>
      </w:r>
      <w:r>
        <w:t>pitch university-funded IP to investors.</w:t>
      </w:r>
      <w:r w:rsidR="003F5C71">
        <w:t xml:space="preserve">  </w:t>
      </w:r>
      <w:r w:rsidR="00901F29">
        <w:t xml:space="preserve">In the future, OTIIR plans to partner with other organizations such as </w:t>
      </w:r>
      <w:r>
        <w:t xml:space="preserve">Bakar Labs </w:t>
      </w:r>
      <w:r w:rsidR="00901F29">
        <w:t xml:space="preserve">at </w:t>
      </w:r>
      <w:r>
        <w:t>Berkeley</w:t>
      </w:r>
      <w:r w:rsidR="00901F29">
        <w:t xml:space="preserve">, </w:t>
      </w:r>
      <w:proofErr w:type="spellStart"/>
      <w:r w:rsidR="00901F29">
        <w:t>Nucleate.xyz</w:t>
      </w:r>
      <w:proofErr w:type="spellEnd"/>
      <w:r w:rsidR="00901F29">
        <w:t xml:space="preserve"> leadership, other </w:t>
      </w:r>
      <w:r w:rsidR="00546FBE">
        <w:t>fellowship,</w:t>
      </w:r>
      <w:r w:rsidR="00901F29">
        <w:t xml:space="preserve"> and bio venture organizations.  </w:t>
      </w:r>
      <w:r>
        <w:t xml:space="preserve">UCM </w:t>
      </w:r>
      <w:r w:rsidR="00B41CE3">
        <w:t>may also</w:t>
      </w:r>
      <w:r w:rsidR="00901F29">
        <w:t xml:space="preserve"> open an </w:t>
      </w:r>
      <w:r>
        <w:t>accelerator office space for faculty life sciences and engineering startups.</w:t>
      </w:r>
      <w:r w:rsidR="00901F29">
        <w:t xml:space="preserve">  </w:t>
      </w:r>
    </w:p>
    <w:sectPr w:rsidR="002E4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1DC4"/>
    <w:multiLevelType w:val="hybridMultilevel"/>
    <w:tmpl w:val="6BC87656"/>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start w:val="1"/>
      <w:numFmt w:val="bullet"/>
      <w:lvlText w:val=""/>
      <w:lvlJc w:val="left"/>
      <w:pPr>
        <w:ind w:left="2211" w:hanging="360"/>
      </w:pPr>
      <w:rPr>
        <w:rFonts w:ascii="Wingdings" w:hAnsi="Wingdings" w:hint="default"/>
      </w:rPr>
    </w:lvl>
    <w:lvl w:ilvl="3" w:tplc="04090001">
      <w:start w:val="1"/>
      <w:numFmt w:val="bullet"/>
      <w:lvlText w:val=""/>
      <w:lvlJc w:val="left"/>
      <w:pPr>
        <w:ind w:left="2931" w:hanging="360"/>
      </w:pPr>
      <w:rPr>
        <w:rFonts w:ascii="Symbol" w:hAnsi="Symbol" w:hint="default"/>
      </w:rPr>
    </w:lvl>
    <w:lvl w:ilvl="4" w:tplc="04090003">
      <w:start w:val="1"/>
      <w:numFmt w:val="bullet"/>
      <w:lvlText w:val="o"/>
      <w:lvlJc w:val="left"/>
      <w:pPr>
        <w:ind w:left="3651" w:hanging="360"/>
      </w:pPr>
      <w:rPr>
        <w:rFonts w:ascii="Courier New" w:hAnsi="Courier New" w:cs="Courier New" w:hint="default"/>
      </w:rPr>
    </w:lvl>
    <w:lvl w:ilvl="5" w:tplc="04090005">
      <w:start w:val="1"/>
      <w:numFmt w:val="bullet"/>
      <w:lvlText w:val=""/>
      <w:lvlJc w:val="left"/>
      <w:pPr>
        <w:ind w:left="4371" w:hanging="360"/>
      </w:pPr>
      <w:rPr>
        <w:rFonts w:ascii="Wingdings" w:hAnsi="Wingdings" w:hint="default"/>
      </w:rPr>
    </w:lvl>
    <w:lvl w:ilvl="6" w:tplc="04090001">
      <w:start w:val="1"/>
      <w:numFmt w:val="bullet"/>
      <w:lvlText w:val=""/>
      <w:lvlJc w:val="left"/>
      <w:pPr>
        <w:ind w:left="5091" w:hanging="360"/>
      </w:pPr>
      <w:rPr>
        <w:rFonts w:ascii="Symbol" w:hAnsi="Symbol" w:hint="default"/>
      </w:rPr>
    </w:lvl>
    <w:lvl w:ilvl="7" w:tplc="04090003">
      <w:start w:val="1"/>
      <w:numFmt w:val="bullet"/>
      <w:lvlText w:val="o"/>
      <w:lvlJc w:val="left"/>
      <w:pPr>
        <w:ind w:left="5811" w:hanging="360"/>
      </w:pPr>
      <w:rPr>
        <w:rFonts w:ascii="Courier New" w:hAnsi="Courier New" w:cs="Courier New" w:hint="default"/>
      </w:rPr>
    </w:lvl>
    <w:lvl w:ilvl="8" w:tplc="04090005">
      <w:start w:val="1"/>
      <w:numFmt w:val="bullet"/>
      <w:lvlText w:val=""/>
      <w:lvlJc w:val="left"/>
      <w:pPr>
        <w:ind w:left="6531" w:hanging="360"/>
      </w:pPr>
      <w:rPr>
        <w:rFonts w:ascii="Wingdings" w:hAnsi="Wingdings" w:hint="default"/>
      </w:rPr>
    </w:lvl>
  </w:abstractNum>
  <w:num w:numId="1" w16cid:durableId="952059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8CC"/>
    <w:rsid w:val="00024319"/>
    <w:rsid w:val="00154658"/>
    <w:rsid w:val="00244D86"/>
    <w:rsid w:val="002E48CC"/>
    <w:rsid w:val="00354362"/>
    <w:rsid w:val="003F5C71"/>
    <w:rsid w:val="00480D02"/>
    <w:rsid w:val="005455E1"/>
    <w:rsid w:val="00546FBE"/>
    <w:rsid w:val="00554A04"/>
    <w:rsid w:val="00630BF5"/>
    <w:rsid w:val="00642620"/>
    <w:rsid w:val="007607E4"/>
    <w:rsid w:val="00796AB5"/>
    <w:rsid w:val="007C162D"/>
    <w:rsid w:val="008006F5"/>
    <w:rsid w:val="00901F29"/>
    <w:rsid w:val="00B200E6"/>
    <w:rsid w:val="00B41CE3"/>
    <w:rsid w:val="00C1766D"/>
    <w:rsid w:val="00D37CA5"/>
    <w:rsid w:val="00DA6172"/>
    <w:rsid w:val="00ED6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26B7"/>
  <w15:chartTrackingRefBased/>
  <w15:docId w15:val="{A1AE2E0F-6C40-487A-9A9C-491D6E4B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8C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90412">
      <w:bodyDiv w:val="1"/>
      <w:marLeft w:val="0"/>
      <w:marRight w:val="0"/>
      <w:marTop w:val="0"/>
      <w:marBottom w:val="0"/>
      <w:divBdr>
        <w:top w:val="none" w:sz="0" w:space="0" w:color="auto"/>
        <w:left w:val="none" w:sz="0" w:space="0" w:color="auto"/>
        <w:bottom w:val="none" w:sz="0" w:space="0" w:color="auto"/>
        <w:right w:val="none" w:sz="0" w:space="0" w:color="auto"/>
      </w:divBdr>
    </w:div>
    <w:div w:id="582567833">
      <w:bodyDiv w:val="1"/>
      <w:marLeft w:val="0"/>
      <w:marRight w:val="0"/>
      <w:marTop w:val="0"/>
      <w:marBottom w:val="0"/>
      <w:divBdr>
        <w:top w:val="none" w:sz="0" w:space="0" w:color="auto"/>
        <w:left w:val="none" w:sz="0" w:space="0" w:color="auto"/>
        <w:bottom w:val="none" w:sz="0" w:space="0" w:color="auto"/>
        <w:right w:val="none" w:sz="0" w:space="0" w:color="auto"/>
      </w:divBdr>
    </w:div>
    <w:div w:id="940646087">
      <w:bodyDiv w:val="1"/>
      <w:marLeft w:val="0"/>
      <w:marRight w:val="0"/>
      <w:marTop w:val="0"/>
      <w:marBottom w:val="0"/>
      <w:divBdr>
        <w:top w:val="none" w:sz="0" w:space="0" w:color="auto"/>
        <w:left w:val="none" w:sz="0" w:space="0" w:color="auto"/>
        <w:bottom w:val="none" w:sz="0" w:space="0" w:color="auto"/>
        <w:right w:val="none" w:sz="0" w:space="0" w:color="auto"/>
      </w:divBdr>
    </w:div>
    <w:div w:id="13640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900" b="0" i="0" baseline="0">
                <a:effectLst/>
              </a:rPr>
              <a:t>Technology Transfer and Commercialization Activity</a:t>
            </a:r>
            <a:endParaRPr lang="en-US" sz="900">
              <a:effectLst/>
            </a:endParaRPr>
          </a:p>
        </c:rich>
      </c:tx>
      <c:layout>
        <c:manualLayout>
          <c:xMode val="edge"/>
          <c:yMode val="edge"/>
          <c:x val="0.15890620443277922"/>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Inventions Disclosed</c:v>
                </c:pt>
              </c:strCache>
            </c:strRef>
          </c:tx>
          <c:spPr>
            <a:ln w="15875" cap="rnd">
              <a:solidFill>
                <a:schemeClr val="accent1"/>
              </a:solidFill>
              <a:round/>
            </a:ln>
            <a:effectLst/>
          </c:spPr>
          <c:marker>
            <c:symbol val="none"/>
          </c:marker>
          <c:cat>
            <c:numRef>
              <c:f>Sheet1!$A$2:$A$5</c:f>
              <c:numCache>
                <c:formatCode>General</c:formatCode>
                <c:ptCount val="4"/>
                <c:pt idx="0">
                  <c:v>2019</c:v>
                </c:pt>
                <c:pt idx="1">
                  <c:v>2020</c:v>
                </c:pt>
                <c:pt idx="2">
                  <c:v>2021</c:v>
                </c:pt>
              </c:numCache>
            </c:numRef>
          </c:cat>
          <c:val>
            <c:numRef>
              <c:f>Sheet1!$B$2:$B$5</c:f>
              <c:numCache>
                <c:formatCode>General</c:formatCode>
                <c:ptCount val="4"/>
                <c:pt idx="0">
                  <c:v>11</c:v>
                </c:pt>
                <c:pt idx="1">
                  <c:v>7</c:v>
                </c:pt>
                <c:pt idx="2">
                  <c:v>3.85</c:v>
                </c:pt>
              </c:numCache>
            </c:numRef>
          </c:val>
          <c:smooth val="0"/>
          <c:extLst>
            <c:ext xmlns:c16="http://schemas.microsoft.com/office/drawing/2014/chart" uri="{C3380CC4-5D6E-409C-BE32-E72D297353CC}">
              <c16:uniqueId val="{00000000-5D98-4F7F-A5A5-8D9A5A2E3530}"/>
            </c:ext>
          </c:extLst>
        </c:ser>
        <c:ser>
          <c:idx val="1"/>
          <c:order val="1"/>
          <c:tx>
            <c:strRef>
              <c:f>Sheet1!$C$1</c:f>
              <c:strCache>
                <c:ptCount val="1"/>
                <c:pt idx="0">
                  <c:v>US Patent Fillings</c:v>
                </c:pt>
              </c:strCache>
            </c:strRef>
          </c:tx>
          <c:spPr>
            <a:ln w="15875" cap="rnd">
              <a:solidFill>
                <a:schemeClr val="accent2"/>
              </a:solidFill>
              <a:round/>
            </a:ln>
            <a:effectLst/>
          </c:spPr>
          <c:marker>
            <c:symbol val="none"/>
          </c:marker>
          <c:cat>
            <c:numRef>
              <c:f>Sheet1!$A$2:$A$5</c:f>
              <c:numCache>
                <c:formatCode>General</c:formatCode>
                <c:ptCount val="4"/>
                <c:pt idx="0">
                  <c:v>2019</c:v>
                </c:pt>
                <c:pt idx="1">
                  <c:v>2020</c:v>
                </c:pt>
                <c:pt idx="2">
                  <c:v>2021</c:v>
                </c:pt>
              </c:numCache>
            </c:numRef>
          </c:cat>
          <c:val>
            <c:numRef>
              <c:f>Sheet1!$C$2:$C$5</c:f>
              <c:numCache>
                <c:formatCode>General</c:formatCode>
                <c:ptCount val="4"/>
                <c:pt idx="0">
                  <c:v>6</c:v>
                </c:pt>
                <c:pt idx="1">
                  <c:v>5</c:v>
                </c:pt>
                <c:pt idx="2">
                  <c:v>10</c:v>
                </c:pt>
              </c:numCache>
            </c:numRef>
          </c:val>
          <c:smooth val="0"/>
          <c:extLst>
            <c:ext xmlns:c16="http://schemas.microsoft.com/office/drawing/2014/chart" uri="{C3380CC4-5D6E-409C-BE32-E72D297353CC}">
              <c16:uniqueId val="{00000001-5D98-4F7F-A5A5-8D9A5A2E3530}"/>
            </c:ext>
          </c:extLst>
        </c:ser>
        <c:ser>
          <c:idx val="2"/>
          <c:order val="2"/>
          <c:tx>
            <c:strRef>
              <c:f>Sheet1!$D$1</c:f>
              <c:strCache>
                <c:ptCount val="1"/>
                <c:pt idx="0">
                  <c:v>US Patents Issued</c:v>
                </c:pt>
              </c:strCache>
            </c:strRef>
          </c:tx>
          <c:spPr>
            <a:ln w="15875" cap="rnd">
              <a:solidFill>
                <a:schemeClr val="accent3"/>
              </a:solidFill>
              <a:round/>
            </a:ln>
            <a:effectLst/>
          </c:spPr>
          <c:marker>
            <c:symbol val="none"/>
          </c:marker>
          <c:cat>
            <c:numRef>
              <c:f>Sheet1!$A$2:$A$5</c:f>
              <c:numCache>
                <c:formatCode>General</c:formatCode>
                <c:ptCount val="4"/>
                <c:pt idx="0">
                  <c:v>2019</c:v>
                </c:pt>
                <c:pt idx="1">
                  <c:v>2020</c:v>
                </c:pt>
                <c:pt idx="2">
                  <c:v>2021</c:v>
                </c:pt>
              </c:numCache>
            </c:numRef>
          </c:cat>
          <c:val>
            <c:numRef>
              <c:f>Sheet1!$D$2:$D$5</c:f>
              <c:numCache>
                <c:formatCode>General</c:formatCode>
                <c:ptCount val="4"/>
                <c:pt idx="0">
                  <c:v>2</c:v>
                </c:pt>
                <c:pt idx="1">
                  <c:v>2</c:v>
                </c:pt>
                <c:pt idx="2">
                  <c:v>2</c:v>
                </c:pt>
              </c:numCache>
            </c:numRef>
          </c:val>
          <c:smooth val="0"/>
          <c:extLst>
            <c:ext xmlns:c16="http://schemas.microsoft.com/office/drawing/2014/chart" uri="{C3380CC4-5D6E-409C-BE32-E72D297353CC}">
              <c16:uniqueId val="{00000002-5D98-4F7F-A5A5-8D9A5A2E3530}"/>
            </c:ext>
          </c:extLst>
        </c:ser>
        <c:ser>
          <c:idx val="3"/>
          <c:order val="3"/>
          <c:tx>
            <c:strRef>
              <c:f>Sheet1!$E$1</c:f>
              <c:strCache>
                <c:ptCount val="1"/>
                <c:pt idx="0">
                  <c:v>Agreements Issued</c:v>
                </c:pt>
              </c:strCache>
            </c:strRef>
          </c:tx>
          <c:spPr>
            <a:ln w="15875" cap="rnd">
              <a:solidFill>
                <a:schemeClr val="accent4"/>
              </a:solidFill>
              <a:round/>
            </a:ln>
            <a:effectLst/>
          </c:spPr>
          <c:marker>
            <c:symbol val="none"/>
          </c:marker>
          <c:cat>
            <c:numRef>
              <c:f>Sheet1!$A$2:$A$5</c:f>
              <c:numCache>
                <c:formatCode>General</c:formatCode>
                <c:ptCount val="4"/>
                <c:pt idx="0">
                  <c:v>2019</c:v>
                </c:pt>
                <c:pt idx="1">
                  <c:v>2020</c:v>
                </c:pt>
                <c:pt idx="2">
                  <c:v>2021</c:v>
                </c:pt>
              </c:numCache>
            </c:numRef>
          </c:cat>
          <c:val>
            <c:numRef>
              <c:f>Sheet1!$E$2:$E$5</c:f>
              <c:numCache>
                <c:formatCode>General</c:formatCode>
                <c:ptCount val="4"/>
                <c:pt idx="0">
                  <c:v>1</c:v>
                </c:pt>
                <c:pt idx="1">
                  <c:v>9</c:v>
                </c:pt>
                <c:pt idx="2">
                  <c:v>6</c:v>
                </c:pt>
              </c:numCache>
            </c:numRef>
          </c:val>
          <c:smooth val="0"/>
          <c:extLst>
            <c:ext xmlns:c16="http://schemas.microsoft.com/office/drawing/2014/chart" uri="{C3380CC4-5D6E-409C-BE32-E72D297353CC}">
              <c16:uniqueId val="{00000004-5D98-4F7F-A5A5-8D9A5A2E3530}"/>
            </c:ext>
          </c:extLst>
        </c:ser>
        <c:dLbls>
          <c:showLegendKey val="0"/>
          <c:showVal val="0"/>
          <c:showCatName val="0"/>
          <c:showSerName val="0"/>
          <c:showPercent val="0"/>
          <c:showBubbleSize val="0"/>
        </c:dLbls>
        <c:smooth val="0"/>
        <c:axId val="1840109696"/>
        <c:axId val="1840108032"/>
      </c:lineChart>
      <c:catAx>
        <c:axId val="184010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840108032"/>
        <c:crosses val="autoZero"/>
        <c:auto val="1"/>
        <c:lblAlgn val="ctr"/>
        <c:lblOffset val="100"/>
        <c:noMultiLvlLbl val="0"/>
      </c:catAx>
      <c:valAx>
        <c:axId val="1840108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840109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30000">
                <a:solidFill>
                  <a:schemeClr val="tx1">
                    <a:lumMod val="65000"/>
                    <a:lumOff val="35000"/>
                  </a:schemeClr>
                </a:solidFill>
                <a:latin typeface="+mn-lt"/>
                <a:ea typeface="+mn-ea"/>
                <a:cs typeface="+mn-cs"/>
              </a:defRPr>
            </a:pPr>
            <a:r>
              <a:rPr lang="en-US" sz="1100" baseline="30000"/>
              <a:t>Active IP Cases</a:t>
            </a:r>
          </a:p>
        </c:rich>
      </c:tx>
      <c:overlay val="0"/>
      <c:spPr>
        <a:noFill/>
        <a:ln>
          <a:noFill/>
        </a:ln>
        <a:effectLst/>
      </c:spPr>
      <c:txPr>
        <a:bodyPr rot="0" spcFirstLastPara="1" vertOverflow="ellipsis" vert="horz" wrap="square" anchor="ctr" anchorCtr="1"/>
        <a:lstStyle/>
        <a:p>
          <a:pPr>
            <a:defRPr sz="1100" b="0" i="0" u="none" strike="noStrike" kern="1200" spc="0" baseline="3000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0904417803061517"/>
          <c:y val="0.27207079646017701"/>
          <c:w val="0.71152402413068994"/>
          <c:h val="0.37477694934150929"/>
        </c:manualLayout>
      </c:layout>
      <c:barChart>
        <c:barDir val="col"/>
        <c:grouping val="clustered"/>
        <c:varyColors val="0"/>
        <c:ser>
          <c:idx val="0"/>
          <c:order val="0"/>
          <c:tx>
            <c:strRef>
              <c:f>Sheet1!$A$2</c:f>
              <c:strCache>
                <c:ptCount val="1"/>
                <c:pt idx="0">
                  <c:v>Category 1</c:v>
                </c:pt>
              </c:strCache>
            </c:strRef>
          </c:tx>
          <c:spPr>
            <a:solidFill>
              <a:schemeClr val="accent1"/>
            </a:solidFill>
            <a:ln>
              <a:solidFill>
                <a:schemeClr val="accent4"/>
              </a:solidFill>
            </a:ln>
            <a:effectLst/>
          </c:spPr>
          <c:invertIfNegative val="0"/>
          <c:dPt>
            <c:idx val="0"/>
            <c:invertIfNegative val="0"/>
            <c:bubble3D val="0"/>
            <c:spPr>
              <a:solidFill>
                <a:schemeClr val="accent1"/>
              </a:solidFill>
              <a:ln>
                <a:solidFill>
                  <a:schemeClr val="tx1"/>
                </a:solidFill>
              </a:ln>
              <a:effectLst/>
            </c:spPr>
            <c:extLst>
              <c:ext xmlns:c16="http://schemas.microsoft.com/office/drawing/2014/chart" uri="{C3380CC4-5D6E-409C-BE32-E72D297353CC}">
                <c16:uniqueId val="{00000006-DAD1-43E6-8FB0-662638D2FE58}"/>
              </c:ext>
            </c:extLst>
          </c:dPt>
          <c:dPt>
            <c:idx val="1"/>
            <c:invertIfNegative val="0"/>
            <c:bubble3D val="0"/>
            <c:spPr>
              <a:solidFill>
                <a:schemeClr val="accent4"/>
              </a:solidFill>
              <a:ln>
                <a:solidFill>
                  <a:schemeClr val="tx1"/>
                </a:solidFill>
              </a:ln>
              <a:effectLst/>
            </c:spPr>
            <c:extLst>
              <c:ext xmlns:c16="http://schemas.microsoft.com/office/drawing/2014/chart" uri="{C3380CC4-5D6E-409C-BE32-E72D297353CC}">
                <c16:uniqueId val="{00000004-DAD1-43E6-8FB0-662638D2FE58}"/>
              </c:ext>
            </c:extLst>
          </c:dPt>
          <c:dPt>
            <c:idx val="2"/>
            <c:invertIfNegative val="0"/>
            <c:bubble3D val="0"/>
            <c:spPr>
              <a:solidFill>
                <a:srgbClr val="FFFF00"/>
              </a:solidFill>
              <a:ln>
                <a:solidFill>
                  <a:schemeClr val="tx1"/>
                </a:solidFill>
              </a:ln>
              <a:effectLst/>
            </c:spPr>
            <c:extLst>
              <c:ext xmlns:c16="http://schemas.microsoft.com/office/drawing/2014/chart" uri="{C3380CC4-5D6E-409C-BE32-E72D297353CC}">
                <c16:uniqueId val="{00000005-DAD1-43E6-8FB0-662638D2FE58}"/>
              </c:ext>
            </c:extLst>
          </c:dPt>
          <c:cat>
            <c:strRef>
              <c:f>Sheet1!$B$1:$D$1</c:f>
              <c:strCache>
                <c:ptCount val="3"/>
                <c:pt idx="0">
                  <c:v>Provisional Application</c:v>
                </c:pt>
                <c:pt idx="1">
                  <c:v>Non-Provisional Application</c:v>
                </c:pt>
                <c:pt idx="2">
                  <c:v>Licensed Patents</c:v>
                </c:pt>
              </c:strCache>
            </c:strRef>
          </c:cat>
          <c:val>
            <c:numRef>
              <c:f>Sheet1!$B$2:$D$2</c:f>
              <c:numCache>
                <c:formatCode>General</c:formatCode>
                <c:ptCount val="3"/>
                <c:pt idx="0">
                  <c:v>1</c:v>
                </c:pt>
                <c:pt idx="1">
                  <c:v>25</c:v>
                </c:pt>
                <c:pt idx="2">
                  <c:v>5</c:v>
                </c:pt>
              </c:numCache>
            </c:numRef>
          </c:val>
          <c:extLst>
            <c:ext xmlns:c16="http://schemas.microsoft.com/office/drawing/2014/chart" uri="{C3380CC4-5D6E-409C-BE32-E72D297353CC}">
              <c16:uniqueId val="{00000000-DAD1-43E6-8FB0-662638D2FE58}"/>
            </c:ext>
          </c:extLst>
        </c:ser>
        <c:dLbls>
          <c:showLegendKey val="0"/>
          <c:showVal val="0"/>
          <c:showCatName val="0"/>
          <c:showSerName val="0"/>
          <c:showPercent val="0"/>
          <c:showBubbleSize val="0"/>
        </c:dLbls>
        <c:gapWidth val="219"/>
        <c:overlap val="-27"/>
        <c:axId val="186347712"/>
        <c:axId val="186353120"/>
      </c:barChart>
      <c:catAx>
        <c:axId val="186347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86353120"/>
        <c:crosses val="autoZero"/>
        <c:auto val="1"/>
        <c:lblAlgn val="ctr"/>
        <c:lblOffset val="100"/>
        <c:noMultiLvlLbl val="0"/>
      </c:catAx>
      <c:valAx>
        <c:axId val="186353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863477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Yeung</dc:creator>
  <cp:keywords/>
  <dc:description/>
  <cp:lastModifiedBy>John Jackson</cp:lastModifiedBy>
  <cp:revision>3</cp:revision>
  <dcterms:created xsi:type="dcterms:W3CDTF">2022-10-27T22:04:00Z</dcterms:created>
  <dcterms:modified xsi:type="dcterms:W3CDTF">2022-10-27T22:05:00Z</dcterms:modified>
</cp:coreProperties>
</file>