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2474" w14:textId="77777777" w:rsidR="00765548" w:rsidRPr="00AF247D" w:rsidRDefault="00765548" w:rsidP="00765548">
      <w:pPr>
        <w:jc w:val="center"/>
        <w:rPr>
          <w:b/>
          <w:bCs/>
          <w:sz w:val="24"/>
          <w:szCs w:val="24"/>
        </w:rPr>
      </w:pPr>
      <w:r w:rsidRPr="00AF247D">
        <w:rPr>
          <w:b/>
          <w:bCs/>
          <w:sz w:val="24"/>
          <w:szCs w:val="24"/>
        </w:rPr>
        <w:t>OFFICE OF TECHNOLOGY, INNOVATION, AND INDUSTRY RELATIONS (OTIIR)</w:t>
      </w:r>
    </w:p>
    <w:p w14:paraId="23B75CDF" w14:textId="77777777" w:rsidR="00765548" w:rsidRPr="00AF247D" w:rsidRDefault="00765548" w:rsidP="00765548">
      <w:pPr>
        <w:jc w:val="center"/>
        <w:rPr>
          <w:b/>
          <w:bCs/>
          <w:sz w:val="24"/>
          <w:szCs w:val="24"/>
        </w:rPr>
      </w:pPr>
      <w:r w:rsidRPr="00AF247D">
        <w:rPr>
          <w:b/>
          <w:bCs/>
          <w:sz w:val="24"/>
          <w:szCs w:val="24"/>
        </w:rPr>
        <w:t>ANNUAL REPORT FY 2021-2022</w:t>
      </w:r>
    </w:p>
    <w:p w14:paraId="4C728BB0" w14:textId="77777777" w:rsidR="00765548" w:rsidRDefault="00765548" w:rsidP="00765548"/>
    <w:p w14:paraId="14AB3046" w14:textId="05E090B1" w:rsidR="00765548" w:rsidRDefault="00765548" w:rsidP="00765548">
      <w:r>
        <w:t>The Office of Technology, Innovation, and Industry Relations (OTIIR) connects University of California at Merced (UCM) faculty, students, and alumni with business partners to commercialize their innovations, develop new research, start new ventures, and strengthen and diversify the economy.</w:t>
      </w:r>
    </w:p>
    <w:p w14:paraId="4FBD1FA7" w14:textId="131B8668" w:rsidR="00765548" w:rsidRPr="00765548" w:rsidRDefault="00765548" w:rsidP="00765548">
      <w:pPr>
        <w:rPr>
          <w:b/>
          <w:bCs/>
          <w:sz w:val="24"/>
          <w:szCs w:val="24"/>
        </w:rPr>
      </w:pPr>
      <w:r w:rsidRPr="00AF247D">
        <w:rPr>
          <w:b/>
          <w:bCs/>
          <w:sz w:val="24"/>
          <w:szCs w:val="24"/>
        </w:rPr>
        <w:t>Goals</w:t>
      </w:r>
    </w:p>
    <w:p w14:paraId="2574253B" w14:textId="77777777" w:rsidR="00765548" w:rsidRDefault="00765548" w:rsidP="00765548">
      <w:pPr>
        <w:pStyle w:val="ListParagraph"/>
        <w:numPr>
          <w:ilvl w:val="0"/>
          <w:numId w:val="12"/>
        </w:numPr>
        <w:spacing w:after="0" w:line="240" w:lineRule="auto"/>
        <w:rPr>
          <w:rFonts w:eastAsia="Times New Roman"/>
        </w:rPr>
      </w:pPr>
      <w:r>
        <w:rPr>
          <w:rFonts w:eastAsia="Times New Roman"/>
        </w:rPr>
        <w:t>Expand outreach activities by hosting fire-side chats, workshops on IP and Entrepreneurism, virtual and in-person Lunch &amp; Learn sessions, pitch deck development, face to face engagements with inventors to learn about innovation projects and ideas that can potentially be translated to market.</w:t>
      </w:r>
    </w:p>
    <w:p w14:paraId="73C520EC" w14:textId="77777777" w:rsidR="00765548" w:rsidRDefault="00765548" w:rsidP="00765548">
      <w:pPr>
        <w:pStyle w:val="ListParagraph"/>
        <w:numPr>
          <w:ilvl w:val="0"/>
          <w:numId w:val="12"/>
        </w:numPr>
        <w:spacing w:after="0" w:line="240" w:lineRule="auto"/>
        <w:rPr>
          <w:rFonts w:eastAsia="Times New Roman"/>
        </w:rPr>
      </w:pPr>
      <w:r>
        <w:rPr>
          <w:rFonts w:eastAsia="Times New Roman"/>
        </w:rPr>
        <w:t>Complete the discovery phase for the IN-PART</w:t>
      </w:r>
      <w:r>
        <w:t xml:space="preserve"> software solutions that uses a matching algorithm to connect technologies with businesses to facilitate collaborative research and commercialization.</w:t>
      </w:r>
    </w:p>
    <w:p w14:paraId="6C8CEB6D" w14:textId="77777777" w:rsidR="00765548" w:rsidRPr="00A97907" w:rsidRDefault="00765548" w:rsidP="00765548">
      <w:pPr>
        <w:pStyle w:val="ListParagraph"/>
        <w:numPr>
          <w:ilvl w:val="0"/>
          <w:numId w:val="12"/>
        </w:numPr>
        <w:spacing w:after="0" w:line="240" w:lineRule="auto"/>
        <w:rPr>
          <w:rFonts w:eastAsia="Times New Roman"/>
        </w:rPr>
      </w:pPr>
      <w:r>
        <w:rPr>
          <w:rFonts w:eastAsia="Times New Roman"/>
        </w:rPr>
        <w:t>Work with UC Merced’s leadership to identify</w:t>
      </w:r>
      <w:r w:rsidRPr="00A97907">
        <w:rPr>
          <w:rFonts w:eastAsia="Times New Roman"/>
        </w:rPr>
        <w:t xml:space="preserve"> additional funding to </w:t>
      </w:r>
      <w:r>
        <w:rPr>
          <w:rFonts w:eastAsia="Times New Roman"/>
        </w:rPr>
        <w:t xml:space="preserve">scale staffing of I &amp;E </w:t>
      </w:r>
      <w:r w:rsidRPr="00A97907">
        <w:rPr>
          <w:rFonts w:eastAsia="Times New Roman"/>
        </w:rPr>
        <w:t xml:space="preserve">subject matter experts </w:t>
      </w:r>
      <w:r>
        <w:rPr>
          <w:rFonts w:eastAsia="Times New Roman"/>
        </w:rPr>
        <w:t>to reach a state of readiness.</w:t>
      </w:r>
    </w:p>
    <w:p w14:paraId="7530B1CD" w14:textId="77777777" w:rsidR="00765548" w:rsidRDefault="00765548" w:rsidP="00765548">
      <w:pPr>
        <w:pStyle w:val="ListParagraph"/>
        <w:numPr>
          <w:ilvl w:val="0"/>
          <w:numId w:val="12"/>
        </w:numPr>
        <w:spacing w:after="0" w:line="240" w:lineRule="auto"/>
        <w:rPr>
          <w:rFonts w:eastAsia="Times New Roman"/>
        </w:rPr>
      </w:pPr>
      <w:r>
        <w:rPr>
          <w:rFonts w:eastAsia="Times New Roman"/>
        </w:rPr>
        <w:t xml:space="preserve">Develop relationships with industry partners who are interested in investing </w:t>
      </w:r>
      <w:proofErr w:type="gramStart"/>
      <w:r>
        <w:rPr>
          <w:rFonts w:eastAsia="Times New Roman"/>
        </w:rPr>
        <w:t>in  technologies</w:t>
      </w:r>
      <w:proofErr w:type="gramEnd"/>
      <w:r>
        <w:rPr>
          <w:rFonts w:eastAsia="Times New Roman"/>
        </w:rPr>
        <w:t xml:space="preserve"> and ideas developed by UC Merced inventors.</w:t>
      </w:r>
    </w:p>
    <w:p w14:paraId="6821F364" w14:textId="77777777" w:rsidR="00765548" w:rsidRDefault="00765548" w:rsidP="00765548"/>
    <w:p w14:paraId="38B4AD41" w14:textId="12F7338E" w:rsidR="00765548" w:rsidRDefault="00765548" w:rsidP="00765548">
      <w:r>
        <w:t xml:space="preserve">A successful Innovation and Entrepreneurship Office requires a strong infrastructure that supports innovation, entrepreneurship, and technology commercialization activities.  This past year, we built upon the existing structure and saw marked improvement in almost all categories at the end of FY 2021-2022.  </w:t>
      </w:r>
    </w:p>
    <w:p w14:paraId="4A8855D8" w14:textId="5718561E" w:rsidR="00765548" w:rsidRPr="00765548" w:rsidRDefault="00765548" w:rsidP="00765548">
      <w:pPr>
        <w:rPr>
          <w:b/>
          <w:bCs/>
          <w:sz w:val="24"/>
          <w:szCs w:val="24"/>
        </w:rPr>
      </w:pPr>
      <w:r w:rsidRPr="00AF247D">
        <w:rPr>
          <w:b/>
          <w:bCs/>
          <w:sz w:val="24"/>
          <w:szCs w:val="24"/>
        </w:rPr>
        <w:t>Metrics</w:t>
      </w:r>
    </w:p>
    <w:tbl>
      <w:tblPr>
        <w:tblStyle w:val="TableGrid"/>
        <w:tblpPr w:leftFromText="180" w:rightFromText="180" w:vertAnchor="text" w:horzAnchor="margin" w:tblpXSpec="right" w:tblpY="433"/>
        <w:tblOverlap w:val="never"/>
        <w:tblW w:w="0" w:type="auto"/>
        <w:tblLook w:val="04A0" w:firstRow="1" w:lastRow="0" w:firstColumn="1" w:lastColumn="0" w:noHBand="0" w:noVBand="1"/>
      </w:tblPr>
      <w:tblGrid>
        <w:gridCol w:w="2651"/>
        <w:gridCol w:w="696"/>
      </w:tblGrid>
      <w:tr w:rsidR="00765548" w:rsidRPr="00765548" w14:paraId="49DAE3C4" w14:textId="77777777" w:rsidTr="00BA0F0A">
        <w:trPr>
          <w:trHeight w:val="321"/>
        </w:trPr>
        <w:tc>
          <w:tcPr>
            <w:tcW w:w="3347" w:type="dxa"/>
            <w:gridSpan w:val="2"/>
          </w:tcPr>
          <w:p w14:paraId="6B522824" w14:textId="29192AC8" w:rsidR="00765548" w:rsidRPr="00BA0F0A" w:rsidRDefault="00765548" w:rsidP="00765548">
            <w:pPr>
              <w:jc w:val="center"/>
              <w:rPr>
                <w:b/>
                <w:bCs/>
              </w:rPr>
            </w:pPr>
            <w:r w:rsidRPr="00BA0F0A">
              <w:rPr>
                <w:b/>
                <w:bCs/>
              </w:rPr>
              <w:t>Non</w:t>
            </w:r>
            <w:r w:rsidR="00BA0F0A" w:rsidRPr="00BA0F0A">
              <w:rPr>
                <w:b/>
                <w:bCs/>
              </w:rPr>
              <w:t>-</w:t>
            </w:r>
            <w:r w:rsidRPr="00BA0F0A">
              <w:rPr>
                <w:b/>
                <w:bCs/>
              </w:rPr>
              <w:t>disclosure Agreements</w:t>
            </w:r>
          </w:p>
        </w:tc>
      </w:tr>
      <w:tr w:rsidR="00765548" w:rsidRPr="00765548" w14:paraId="20505468" w14:textId="77777777" w:rsidTr="00BA0F0A">
        <w:trPr>
          <w:trHeight w:val="291"/>
        </w:trPr>
        <w:tc>
          <w:tcPr>
            <w:tcW w:w="2651" w:type="dxa"/>
          </w:tcPr>
          <w:p w14:paraId="6D60A540" w14:textId="7D3C9896" w:rsidR="00765548" w:rsidRPr="00BA0F0A" w:rsidRDefault="00765548" w:rsidP="00765548">
            <w:r w:rsidRPr="00BA0F0A">
              <w:t xml:space="preserve">School of </w:t>
            </w:r>
            <w:r w:rsidRPr="00BA0F0A">
              <w:t>Engineering</w:t>
            </w:r>
          </w:p>
        </w:tc>
        <w:tc>
          <w:tcPr>
            <w:tcW w:w="696" w:type="dxa"/>
          </w:tcPr>
          <w:p w14:paraId="2FB07A4B" w14:textId="77777777" w:rsidR="00765548" w:rsidRPr="00BA0F0A" w:rsidRDefault="00765548" w:rsidP="00765548">
            <w:pPr>
              <w:jc w:val="center"/>
            </w:pPr>
            <w:r w:rsidRPr="00BA0F0A">
              <w:t>10</w:t>
            </w:r>
          </w:p>
        </w:tc>
      </w:tr>
      <w:tr w:rsidR="00765548" w:rsidRPr="00765548" w14:paraId="60B40111" w14:textId="77777777" w:rsidTr="00BA0F0A">
        <w:trPr>
          <w:trHeight w:val="138"/>
        </w:trPr>
        <w:tc>
          <w:tcPr>
            <w:tcW w:w="2651" w:type="dxa"/>
          </w:tcPr>
          <w:p w14:paraId="44C2E65C" w14:textId="44E09F6C" w:rsidR="00765548" w:rsidRPr="00BA0F0A" w:rsidRDefault="00765548" w:rsidP="00765548">
            <w:r w:rsidRPr="00BA0F0A">
              <w:t xml:space="preserve">School of </w:t>
            </w:r>
            <w:r w:rsidRPr="00BA0F0A">
              <w:t>Natural Sciences</w:t>
            </w:r>
          </w:p>
        </w:tc>
        <w:tc>
          <w:tcPr>
            <w:tcW w:w="696" w:type="dxa"/>
          </w:tcPr>
          <w:p w14:paraId="040C2354" w14:textId="77777777" w:rsidR="00765548" w:rsidRPr="00BA0F0A" w:rsidRDefault="00765548" w:rsidP="00765548">
            <w:pPr>
              <w:jc w:val="center"/>
            </w:pPr>
            <w:r w:rsidRPr="00BA0F0A">
              <w:t>5</w:t>
            </w:r>
          </w:p>
        </w:tc>
      </w:tr>
    </w:tbl>
    <w:p w14:paraId="7499C1D0" w14:textId="77777777" w:rsidR="00765548" w:rsidRPr="00765548" w:rsidRDefault="00765548" w:rsidP="00765548">
      <w:pPr>
        <w:rPr>
          <w:sz w:val="20"/>
          <w:szCs w:val="20"/>
        </w:rPr>
      </w:pPr>
    </w:p>
    <w:tbl>
      <w:tblPr>
        <w:tblStyle w:val="TableGrid"/>
        <w:tblW w:w="0" w:type="auto"/>
        <w:tblInd w:w="85" w:type="dxa"/>
        <w:tblLook w:val="04A0" w:firstRow="1" w:lastRow="0" w:firstColumn="1" w:lastColumn="0" w:noHBand="0" w:noVBand="1"/>
      </w:tblPr>
      <w:tblGrid>
        <w:gridCol w:w="2610"/>
        <w:gridCol w:w="720"/>
      </w:tblGrid>
      <w:tr w:rsidR="00765548" w:rsidRPr="00BA0F0A" w14:paraId="171E00EB" w14:textId="77777777" w:rsidTr="00765548">
        <w:tc>
          <w:tcPr>
            <w:tcW w:w="3330" w:type="dxa"/>
            <w:gridSpan w:val="2"/>
          </w:tcPr>
          <w:p w14:paraId="49AD4432" w14:textId="16F3FC0D" w:rsidR="00765548" w:rsidRPr="00BA0F0A" w:rsidRDefault="00765548" w:rsidP="000837EC">
            <w:pPr>
              <w:jc w:val="center"/>
              <w:rPr>
                <w:b/>
                <w:bCs/>
              </w:rPr>
            </w:pPr>
            <w:r w:rsidRPr="00BA0F0A">
              <w:rPr>
                <w:b/>
                <w:bCs/>
              </w:rPr>
              <w:t>US Patent Apps</w:t>
            </w:r>
          </w:p>
        </w:tc>
      </w:tr>
      <w:tr w:rsidR="00765548" w:rsidRPr="00BA0F0A" w14:paraId="4BD8E1AF" w14:textId="77777777" w:rsidTr="00BA0F0A">
        <w:tc>
          <w:tcPr>
            <w:tcW w:w="2610" w:type="dxa"/>
          </w:tcPr>
          <w:p w14:paraId="7515E72C" w14:textId="7FE2CB94" w:rsidR="00765548" w:rsidRPr="00BA0F0A" w:rsidRDefault="00765548" w:rsidP="000837EC">
            <w:r w:rsidRPr="00BA0F0A">
              <w:t xml:space="preserve">School of </w:t>
            </w:r>
            <w:r w:rsidRPr="00BA0F0A">
              <w:t>Engineering</w:t>
            </w:r>
          </w:p>
        </w:tc>
        <w:tc>
          <w:tcPr>
            <w:tcW w:w="720" w:type="dxa"/>
          </w:tcPr>
          <w:p w14:paraId="64527ED7" w14:textId="77777777" w:rsidR="00765548" w:rsidRPr="00BA0F0A" w:rsidRDefault="00765548" w:rsidP="000837EC">
            <w:pPr>
              <w:jc w:val="center"/>
            </w:pPr>
            <w:r w:rsidRPr="00BA0F0A">
              <w:t>19</w:t>
            </w:r>
          </w:p>
        </w:tc>
      </w:tr>
      <w:tr w:rsidR="00765548" w:rsidRPr="00BA0F0A" w14:paraId="3B553DB0" w14:textId="77777777" w:rsidTr="00BA0F0A">
        <w:trPr>
          <w:trHeight w:val="368"/>
        </w:trPr>
        <w:tc>
          <w:tcPr>
            <w:tcW w:w="2610" w:type="dxa"/>
          </w:tcPr>
          <w:p w14:paraId="5A56DFC6" w14:textId="14F06959" w:rsidR="00765548" w:rsidRPr="00BA0F0A" w:rsidRDefault="00765548" w:rsidP="000837EC">
            <w:r w:rsidRPr="00BA0F0A">
              <w:t xml:space="preserve">School of </w:t>
            </w:r>
            <w:r w:rsidRPr="00BA0F0A">
              <w:t>Natural Sciences</w:t>
            </w:r>
          </w:p>
        </w:tc>
        <w:tc>
          <w:tcPr>
            <w:tcW w:w="720" w:type="dxa"/>
          </w:tcPr>
          <w:p w14:paraId="51D389AB" w14:textId="77777777" w:rsidR="00765548" w:rsidRPr="00BA0F0A" w:rsidRDefault="00765548" w:rsidP="000837EC">
            <w:pPr>
              <w:jc w:val="center"/>
            </w:pPr>
            <w:r w:rsidRPr="00BA0F0A">
              <w:t>18</w:t>
            </w:r>
          </w:p>
        </w:tc>
      </w:tr>
    </w:tbl>
    <w:tbl>
      <w:tblPr>
        <w:tblStyle w:val="TableGrid"/>
        <w:tblpPr w:leftFromText="180" w:rightFromText="180" w:vertAnchor="text" w:horzAnchor="margin" w:tblpXSpec="center" w:tblpY="-948"/>
        <w:tblW w:w="0" w:type="auto"/>
        <w:tblLook w:val="04A0" w:firstRow="1" w:lastRow="0" w:firstColumn="1" w:lastColumn="0" w:noHBand="0" w:noVBand="1"/>
      </w:tblPr>
      <w:tblGrid>
        <w:gridCol w:w="2695"/>
        <w:gridCol w:w="720"/>
      </w:tblGrid>
      <w:tr w:rsidR="00BA0F0A" w:rsidRPr="00BA0F0A" w14:paraId="12DE3FCA" w14:textId="77777777" w:rsidTr="00BA0F0A">
        <w:trPr>
          <w:trHeight w:val="272"/>
        </w:trPr>
        <w:tc>
          <w:tcPr>
            <w:tcW w:w="3415" w:type="dxa"/>
            <w:gridSpan w:val="2"/>
          </w:tcPr>
          <w:p w14:paraId="493BB6BD" w14:textId="77777777" w:rsidR="00BA0F0A" w:rsidRPr="00BA0F0A" w:rsidRDefault="00BA0F0A" w:rsidP="00BA0F0A">
            <w:pPr>
              <w:jc w:val="center"/>
              <w:rPr>
                <w:b/>
                <w:bCs/>
              </w:rPr>
            </w:pPr>
            <w:r w:rsidRPr="00BA0F0A">
              <w:rPr>
                <w:b/>
                <w:bCs/>
              </w:rPr>
              <w:t>Invention Disclosures</w:t>
            </w:r>
          </w:p>
        </w:tc>
      </w:tr>
      <w:tr w:rsidR="00BA0F0A" w:rsidRPr="00BA0F0A" w14:paraId="6E97E340" w14:textId="77777777" w:rsidTr="00BA0F0A">
        <w:trPr>
          <w:trHeight w:val="272"/>
        </w:trPr>
        <w:tc>
          <w:tcPr>
            <w:tcW w:w="2695" w:type="dxa"/>
          </w:tcPr>
          <w:p w14:paraId="7341D4AA" w14:textId="77777777" w:rsidR="00BA0F0A" w:rsidRPr="00BA0F0A" w:rsidRDefault="00BA0F0A" w:rsidP="00BA0F0A">
            <w:r w:rsidRPr="00BA0F0A">
              <w:t>School of Engineering</w:t>
            </w:r>
          </w:p>
        </w:tc>
        <w:tc>
          <w:tcPr>
            <w:tcW w:w="720" w:type="dxa"/>
          </w:tcPr>
          <w:p w14:paraId="3F886502" w14:textId="77777777" w:rsidR="00BA0F0A" w:rsidRPr="00BA0F0A" w:rsidRDefault="00BA0F0A" w:rsidP="00BA0F0A">
            <w:pPr>
              <w:jc w:val="center"/>
            </w:pPr>
            <w:r w:rsidRPr="00BA0F0A">
              <w:t>4</w:t>
            </w:r>
          </w:p>
        </w:tc>
      </w:tr>
      <w:tr w:rsidR="00BA0F0A" w:rsidRPr="00BA0F0A" w14:paraId="1A9758CF" w14:textId="77777777" w:rsidTr="00BA0F0A">
        <w:trPr>
          <w:trHeight w:val="327"/>
        </w:trPr>
        <w:tc>
          <w:tcPr>
            <w:tcW w:w="2695" w:type="dxa"/>
          </w:tcPr>
          <w:p w14:paraId="53F6132C" w14:textId="77777777" w:rsidR="00BA0F0A" w:rsidRPr="00BA0F0A" w:rsidRDefault="00BA0F0A" w:rsidP="00BA0F0A">
            <w:r w:rsidRPr="00BA0F0A">
              <w:t>School of Natural Sciences</w:t>
            </w:r>
          </w:p>
        </w:tc>
        <w:tc>
          <w:tcPr>
            <w:tcW w:w="720" w:type="dxa"/>
          </w:tcPr>
          <w:p w14:paraId="224A61D1" w14:textId="77777777" w:rsidR="00BA0F0A" w:rsidRPr="00BA0F0A" w:rsidRDefault="00BA0F0A" w:rsidP="00BA0F0A">
            <w:pPr>
              <w:jc w:val="center"/>
            </w:pPr>
            <w:r w:rsidRPr="00BA0F0A">
              <w:t>5</w:t>
            </w:r>
          </w:p>
        </w:tc>
      </w:tr>
    </w:tbl>
    <w:p w14:paraId="15998EDD" w14:textId="77777777" w:rsidR="00765548" w:rsidRPr="00BA0F0A" w:rsidRDefault="00765548" w:rsidP="00765548"/>
    <w:p w14:paraId="3F0A765F" w14:textId="77777777" w:rsidR="00765548" w:rsidRPr="00BA0F0A" w:rsidRDefault="00765548" w:rsidP="00765548"/>
    <w:tbl>
      <w:tblPr>
        <w:tblStyle w:val="TableGrid"/>
        <w:tblpPr w:leftFromText="180" w:rightFromText="180" w:vertAnchor="text" w:horzAnchor="page" w:tblpX="1436" w:tblpY="38"/>
        <w:tblW w:w="0" w:type="auto"/>
        <w:tblLook w:val="04A0" w:firstRow="1" w:lastRow="0" w:firstColumn="1" w:lastColumn="0" w:noHBand="0" w:noVBand="1"/>
      </w:tblPr>
      <w:tblGrid>
        <w:gridCol w:w="3235"/>
        <w:gridCol w:w="920"/>
      </w:tblGrid>
      <w:tr w:rsidR="00765548" w:rsidRPr="00BA0F0A" w14:paraId="3CBAA4A9" w14:textId="77777777" w:rsidTr="00765548">
        <w:tc>
          <w:tcPr>
            <w:tcW w:w="4155" w:type="dxa"/>
            <w:gridSpan w:val="2"/>
          </w:tcPr>
          <w:p w14:paraId="0F6BFC4C" w14:textId="77777777" w:rsidR="00765548" w:rsidRPr="00BA0F0A" w:rsidRDefault="00765548" w:rsidP="00765548">
            <w:pPr>
              <w:jc w:val="center"/>
              <w:rPr>
                <w:b/>
                <w:bCs/>
              </w:rPr>
            </w:pPr>
            <w:r w:rsidRPr="00BA0F0A">
              <w:rPr>
                <w:b/>
                <w:bCs/>
              </w:rPr>
              <w:t>Outgoing Material Transfer Agreements</w:t>
            </w:r>
          </w:p>
        </w:tc>
      </w:tr>
      <w:tr w:rsidR="00765548" w:rsidRPr="00BA0F0A" w14:paraId="0DA02F4B" w14:textId="77777777" w:rsidTr="00765548">
        <w:tc>
          <w:tcPr>
            <w:tcW w:w="3235" w:type="dxa"/>
          </w:tcPr>
          <w:p w14:paraId="5F4BB1F2" w14:textId="446D7376" w:rsidR="00765548" w:rsidRPr="00BA0F0A" w:rsidRDefault="00765548" w:rsidP="00765548">
            <w:r w:rsidRPr="00BA0F0A">
              <w:t xml:space="preserve">School of </w:t>
            </w:r>
            <w:r w:rsidRPr="00BA0F0A">
              <w:t>Engineering</w:t>
            </w:r>
          </w:p>
        </w:tc>
        <w:tc>
          <w:tcPr>
            <w:tcW w:w="920" w:type="dxa"/>
          </w:tcPr>
          <w:p w14:paraId="75F686D9" w14:textId="77777777" w:rsidR="00765548" w:rsidRPr="00BA0F0A" w:rsidRDefault="00765548" w:rsidP="00765548">
            <w:pPr>
              <w:jc w:val="center"/>
            </w:pPr>
            <w:r w:rsidRPr="00BA0F0A">
              <w:t>0</w:t>
            </w:r>
          </w:p>
        </w:tc>
      </w:tr>
      <w:tr w:rsidR="00765548" w:rsidRPr="00BA0F0A" w14:paraId="07F70288" w14:textId="77777777" w:rsidTr="00765548">
        <w:tc>
          <w:tcPr>
            <w:tcW w:w="3235" w:type="dxa"/>
          </w:tcPr>
          <w:p w14:paraId="5542F87B" w14:textId="076D882F" w:rsidR="00765548" w:rsidRPr="00BA0F0A" w:rsidRDefault="00765548" w:rsidP="00765548">
            <w:r w:rsidRPr="00BA0F0A">
              <w:t xml:space="preserve">School of </w:t>
            </w:r>
            <w:r w:rsidRPr="00BA0F0A">
              <w:t>Natural Sciences</w:t>
            </w:r>
          </w:p>
        </w:tc>
        <w:tc>
          <w:tcPr>
            <w:tcW w:w="920" w:type="dxa"/>
          </w:tcPr>
          <w:p w14:paraId="05437548" w14:textId="77777777" w:rsidR="00765548" w:rsidRPr="00BA0F0A" w:rsidRDefault="00765548" w:rsidP="00765548">
            <w:pPr>
              <w:jc w:val="center"/>
            </w:pPr>
            <w:r w:rsidRPr="00BA0F0A">
              <w:t>2</w:t>
            </w:r>
          </w:p>
        </w:tc>
      </w:tr>
    </w:tbl>
    <w:tbl>
      <w:tblPr>
        <w:tblStyle w:val="TableGrid"/>
        <w:tblpPr w:leftFromText="180" w:rightFromText="180" w:vertAnchor="text" w:horzAnchor="page" w:tblpX="6534" w:tblpY="31"/>
        <w:tblW w:w="0" w:type="auto"/>
        <w:tblLook w:val="04A0" w:firstRow="1" w:lastRow="0" w:firstColumn="1" w:lastColumn="0" w:noHBand="0" w:noVBand="1"/>
      </w:tblPr>
      <w:tblGrid>
        <w:gridCol w:w="3145"/>
        <w:gridCol w:w="900"/>
      </w:tblGrid>
      <w:tr w:rsidR="00765548" w:rsidRPr="00BA0F0A" w14:paraId="7BEB9661" w14:textId="77777777" w:rsidTr="00765548">
        <w:tc>
          <w:tcPr>
            <w:tcW w:w="4045" w:type="dxa"/>
            <w:gridSpan w:val="2"/>
          </w:tcPr>
          <w:p w14:paraId="2A28D7CD" w14:textId="77777777" w:rsidR="00765548" w:rsidRPr="00BA0F0A" w:rsidRDefault="00765548" w:rsidP="000837EC">
            <w:pPr>
              <w:jc w:val="center"/>
              <w:rPr>
                <w:b/>
                <w:bCs/>
              </w:rPr>
            </w:pPr>
            <w:r w:rsidRPr="00BA0F0A">
              <w:rPr>
                <w:b/>
                <w:bCs/>
              </w:rPr>
              <w:t>Technology Licenses/Letter of Intent</w:t>
            </w:r>
          </w:p>
        </w:tc>
      </w:tr>
      <w:tr w:rsidR="00765548" w:rsidRPr="00BA0F0A" w14:paraId="08E6401F" w14:textId="77777777" w:rsidTr="00765548">
        <w:tc>
          <w:tcPr>
            <w:tcW w:w="3145" w:type="dxa"/>
          </w:tcPr>
          <w:p w14:paraId="17F50F50" w14:textId="203FD489" w:rsidR="00765548" w:rsidRPr="00BA0F0A" w:rsidRDefault="00765548" w:rsidP="000837EC">
            <w:r w:rsidRPr="00BA0F0A">
              <w:t xml:space="preserve">School of </w:t>
            </w:r>
            <w:r w:rsidRPr="00BA0F0A">
              <w:t>Engineering</w:t>
            </w:r>
          </w:p>
        </w:tc>
        <w:tc>
          <w:tcPr>
            <w:tcW w:w="900" w:type="dxa"/>
          </w:tcPr>
          <w:p w14:paraId="2F591E25" w14:textId="77777777" w:rsidR="00765548" w:rsidRPr="00BA0F0A" w:rsidRDefault="00765548" w:rsidP="000837EC">
            <w:pPr>
              <w:jc w:val="center"/>
            </w:pPr>
            <w:r w:rsidRPr="00BA0F0A">
              <w:t>2</w:t>
            </w:r>
          </w:p>
        </w:tc>
      </w:tr>
      <w:tr w:rsidR="00765548" w:rsidRPr="00BA0F0A" w14:paraId="6E6A45CB" w14:textId="77777777" w:rsidTr="00765548">
        <w:tc>
          <w:tcPr>
            <w:tcW w:w="3145" w:type="dxa"/>
          </w:tcPr>
          <w:p w14:paraId="04368E1A" w14:textId="60EF34F2" w:rsidR="00765548" w:rsidRPr="00BA0F0A" w:rsidRDefault="00765548" w:rsidP="000837EC">
            <w:r w:rsidRPr="00BA0F0A">
              <w:t xml:space="preserve">School of </w:t>
            </w:r>
            <w:r w:rsidRPr="00BA0F0A">
              <w:t>Natural Sciences</w:t>
            </w:r>
          </w:p>
        </w:tc>
        <w:tc>
          <w:tcPr>
            <w:tcW w:w="900" w:type="dxa"/>
          </w:tcPr>
          <w:p w14:paraId="3BF62EB2" w14:textId="77777777" w:rsidR="00765548" w:rsidRPr="00BA0F0A" w:rsidRDefault="00765548" w:rsidP="000837EC">
            <w:pPr>
              <w:jc w:val="center"/>
            </w:pPr>
            <w:r w:rsidRPr="00BA0F0A">
              <w:t>1</w:t>
            </w:r>
          </w:p>
        </w:tc>
      </w:tr>
    </w:tbl>
    <w:p w14:paraId="7E04627F" w14:textId="77777777" w:rsidR="00765548" w:rsidRPr="00765548" w:rsidRDefault="00765548" w:rsidP="00765548">
      <w:pPr>
        <w:rPr>
          <w:sz w:val="20"/>
          <w:szCs w:val="20"/>
        </w:rPr>
      </w:pPr>
    </w:p>
    <w:p w14:paraId="094395C1" w14:textId="77777777" w:rsidR="00765548" w:rsidRPr="00765548" w:rsidRDefault="00765548" w:rsidP="00765548">
      <w:pPr>
        <w:rPr>
          <w:sz w:val="20"/>
          <w:szCs w:val="20"/>
        </w:rPr>
      </w:pPr>
    </w:p>
    <w:p w14:paraId="00D4CB15" w14:textId="77777777" w:rsidR="00765548" w:rsidRPr="00765548" w:rsidRDefault="00765548" w:rsidP="00765548">
      <w:pPr>
        <w:rPr>
          <w:sz w:val="20"/>
          <w:szCs w:val="20"/>
        </w:rPr>
      </w:pPr>
    </w:p>
    <w:p w14:paraId="7E7FA06B" w14:textId="77777777" w:rsidR="00765548" w:rsidRPr="00765548" w:rsidRDefault="00765548" w:rsidP="00765548">
      <w:pPr>
        <w:rPr>
          <w:sz w:val="24"/>
          <w:szCs w:val="24"/>
        </w:rPr>
      </w:pPr>
    </w:p>
    <w:p w14:paraId="013A2721" w14:textId="22000EC9" w:rsidR="00765548" w:rsidRPr="00765548" w:rsidRDefault="00765548" w:rsidP="00765548">
      <w:pPr>
        <w:rPr>
          <w:sz w:val="24"/>
          <w:szCs w:val="24"/>
        </w:rPr>
      </w:pPr>
    </w:p>
    <w:p w14:paraId="77440809" w14:textId="07F54B5E" w:rsidR="00765548" w:rsidRPr="00765548" w:rsidRDefault="00765548" w:rsidP="00765548">
      <w:pPr>
        <w:rPr>
          <w:sz w:val="24"/>
          <w:szCs w:val="24"/>
        </w:rPr>
      </w:pPr>
    </w:p>
    <w:p w14:paraId="6858FFA1" w14:textId="77777777" w:rsidR="00765548" w:rsidRDefault="00765548" w:rsidP="00765548"/>
    <w:p w14:paraId="2EFBDE8D" w14:textId="30819911" w:rsidR="00765548" w:rsidRDefault="00765548" w:rsidP="00765548"/>
    <w:p w14:paraId="76D9E9C7" w14:textId="77777777" w:rsidR="00765548" w:rsidRDefault="00765548" w:rsidP="00765548"/>
    <w:p w14:paraId="2BBA4162" w14:textId="3953C351" w:rsidR="00765548" w:rsidRPr="00765548" w:rsidRDefault="00765548" w:rsidP="00765548">
      <w:pPr>
        <w:rPr>
          <w:b/>
          <w:bCs/>
          <w:sz w:val="24"/>
          <w:szCs w:val="24"/>
        </w:rPr>
      </w:pPr>
      <w:r w:rsidRPr="00AF247D">
        <w:rPr>
          <w:b/>
          <w:bCs/>
          <w:sz w:val="24"/>
          <w:szCs w:val="24"/>
        </w:rPr>
        <w:lastRenderedPageBreak/>
        <w:t>Strategies</w:t>
      </w:r>
    </w:p>
    <w:p w14:paraId="60DF6C86" w14:textId="5D78CF9E" w:rsidR="00765548" w:rsidRDefault="00765548" w:rsidP="00765548">
      <w:r>
        <w:t xml:space="preserve">Facilitated engagement events with approximately 60 faculty members, 40 graduate students, and 400 undergraduate students, which positively impacted the number of invention disclosures received each month as compared to FY 2020-2021. We anticipate this steady growth will continue into the next fiscal cycle.  </w:t>
      </w:r>
    </w:p>
    <w:p w14:paraId="70819740" w14:textId="7EC1CE64" w:rsidR="00765548" w:rsidRDefault="00765548" w:rsidP="00765548">
      <w:r>
        <w:t xml:space="preserve">Partnered with Nixon Peabody to facilitate a webinar that educated faculty and students about corporate formation.  </w:t>
      </w:r>
    </w:p>
    <w:p w14:paraId="7864D8F8" w14:textId="6C17C50A" w:rsidR="00765548" w:rsidRDefault="00765548" w:rsidP="00765548">
      <w:r>
        <w:t>Facilitated multiple “Lunch &amp; Learn” webinars with various law firms and venture capitalists to educate faculty and students about intellectual property, licensing, funding opportunities, start-up formation and commercialization of intellectual property.  Speaker seminars with local law firms, an annual IP symposium and in-person fire-side chats will be added to the events agenda for FY 2022-2023</w:t>
      </w:r>
    </w:p>
    <w:p w14:paraId="11B46977" w14:textId="66EF146E" w:rsidR="00765548" w:rsidRDefault="00765548" w:rsidP="00765548">
      <w:r w:rsidRPr="00CE73DF">
        <w:t xml:space="preserve">OTIIR </w:t>
      </w:r>
      <w:r>
        <w:t xml:space="preserve">has and will continue to seek </w:t>
      </w:r>
      <w:r w:rsidRPr="00CE73DF">
        <w:t>permanent funding to recruit and retain subject matter experts to double our capacity</w:t>
      </w:r>
      <w:r>
        <w:t xml:space="preserve"> by FY 2023 </w:t>
      </w:r>
      <w:r w:rsidRPr="00CE73DF">
        <w:t xml:space="preserve">to support </w:t>
      </w:r>
      <w:r>
        <w:t>current and</w:t>
      </w:r>
      <w:r w:rsidRPr="00CE73DF">
        <w:t xml:space="preserve"> anticipated surge in research activity due to the push to </w:t>
      </w:r>
      <w:r>
        <w:t>reach</w:t>
      </w:r>
      <w:r w:rsidRPr="00CE73DF">
        <w:t xml:space="preserve"> R1 </w:t>
      </w:r>
      <w:r>
        <w:t xml:space="preserve">Carnegie designation </w:t>
      </w:r>
      <w:r w:rsidRPr="00CE73DF">
        <w:t xml:space="preserve">by 2030.  </w:t>
      </w:r>
    </w:p>
    <w:p w14:paraId="6D7DE035" w14:textId="7CEFAD47" w:rsidR="00765548" w:rsidRDefault="00765548" w:rsidP="00765548">
      <w:r>
        <w:t xml:space="preserve">OTIIR has executed a three-year subscription to IN-PART software to assist with marketing and licensing of UCM technology.  Additional funds are needed to invest in other technology and software solutions to docket, track, and manage IP and agreements.  </w:t>
      </w:r>
    </w:p>
    <w:p w14:paraId="10D7C828" w14:textId="11D77D86" w:rsidR="00765548" w:rsidRDefault="00765548" w:rsidP="00765548">
      <w:r w:rsidRPr="00A41E46">
        <w:t xml:space="preserve">OTIIR </w:t>
      </w:r>
      <w:r>
        <w:t xml:space="preserve">attempts to establish connections with industry by </w:t>
      </w:r>
      <w:r w:rsidRPr="00A41E46">
        <w:t>participat</w:t>
      </w:r>
      <w:r>
        <w:t>ing</w:t>
      </w:r>
      <w:r w:rsidRPr="00A41E46">
        <w:t xml:space="preserve"> in various programs that encourage faculty and students to engage with industry partners</w:t>
      </w:r>
      <w:r w:rsidRPr="00454D2C">
        <w:t xml:space="preserve">. </w:t>
      </w:r>
      <w:r>
        <w:t>This is challenging due to the campus’ location and limited proximity to industry hubs in underserved regions like the CA Centrally Valley.</w:t>
      </w:r>
    </w:p>
    <w:p w14:paraId="4126689E" w14:textId="77777777" w:rsidR="00765548" w:rsidRPr="00AF247D" w:rsidRDefault="00765548" w:rsidP="00765548">
      <w:pPr>
        <w:rPr>
          <w:b/>
          <w:bCs/>
          <w:sz w:val="24"/>
          <w:szCs w:val="24"/>
        </w:rPr>
      </w:pPr>
      <w:r w:rsidRPr="00AF247D">
        <w:rPr>
          <w:b/>
          <w:bCs/>
          <w:sz w:val="24"/>
          <w:szCs w:val="24"/>
        </w:rPr>
        <w:t>Examples of Industry Outreach Events:</w:t>
      </w:r>
    </w:p>
    <w:p w14:paraId="7988572D" w14:textId="77777777" w:rsidR="00765548" w:rsidRDefault="00765548" w:rsidP="00765548">
      <w:pPr>
        <w:pStyle w:val="ListParagraph"/>
        <w:numPr>
          <w:ilvl w:val="0"/>
          <w:numId w:val="13"/>
        </w:numPr>
        <w:spacing w:after="0" w:line="240" w:lineRule="auto"/>
      </w:pPr>
      <w:r>
        <w:t>Hosted three one-day</w:t>
      </w:r>
      <w:r w:rsidRPr="00454D2C">
        <w:t xml:space="preserve"> training</w:t>
      </w:r>
      <w:r>
        <w:t xml:space="preserve"> sessions funded by the</w:t>
      </w:r>
      <w:r w:rsidRPr="00454D2C">
        <w:t xml:space="preserve"> NSF </w:t>
      </w:r>
      <w:r>
        <w:t>I</w:t>
      </w:r>
      <w:r w:rsidRPr="00454D2C">
        <w:t xml:space="preserve">-Corps </w:t>
      </w:r>
      <w:r>
        <w:t xml:space="preserve">grant </w:t>
      </w:r>
      <w:r w:rsidRPr="00454D2C">
        <w:t>to educate students about intellectual property, business communication, networking, marketing</w:t>
      </w:r>
      <w:r>
        <w:t xml:space="preserve"> of IP</w:t>
      </w:r>
      <w:r w:rsidRPr="00454D2C">
        <w:t xml:space="preserve">, teamwork, and other professional and leadership skills. </w:t>
      </w:r>
    </w:p>
    <w:p w14:paraId="7E855B1F" w14:textId="77777777" w:rsidR="00765548" w:rsidRDefault="00765548" w:rsidP="00765548">
      <w:pPr>
        <w:pStyle w:val="ListParagraph"/>
        <w:numPr>
          <w:ilvl w:val="0"/>
          <w:numId w:val="13"/>
        </w:numPr>
        <w:spacing w:after="0" w:line="240" w:lineRule="auto"/>
      </w:pPr>
      <w:r>
        <w:t>Scheduled monthly meetings with city and county officials to discuss opportunities for collaboration with UC Merced inventors and city/county projects.</w:t>
      </w:r>
    </w:p>
    <w:p w14:paraId="5D05A52D" w14:textId="77777777" w:rsidR="00765548" w:rsidRDefault="00765548" w:rsidP="00765548">
      <w:pPr>
        <w:pStyle w:val="ListParagraph"/>
        <w:numPr>
          <w:ilvl w:val="0"/>
          <w:numId w:val="13"/>
        </w:numPr>
        <w:spacing w:after="0" w:line="240" w:lineRule="auto"/>
      </w:pPr>
      <w:r w:rsidRPr="00CE73DF">
        <w:t>Blackstone Launch</w:t>
      </w:r>
      <w:r>
        <w:t>-</w:t>
      </w:r>
      <w:r w:rsidRPr="00CE73DF">
        <w:t xml:space="preserve">Pad </w:t>
      </w:r>
      <w:r>
        <w:t>hosted monthly</w:t>
      </w:r>
      <w:r w:rsidRPr="00CE73DF">
        <w:t xml:space="preserve"> Innovation + Design Hub Speaker Series</w:t>
      </w:r>
      <w:r>
        <w:t xml:space="preserve"> and</w:t>
      </w:r>
      <w:r w:rsidRPr="00CE73DF">
        <w:t xml:space="preserve"> </w:t>
      </w:r>
      <w:proofErr w:type="gramStart"/>
      <w:r w:rsidRPr="00CE73DF">
        <w:t>Workshops, and</w:t>
      </w:r>
      <w:proofErr w:type="gramEnd"/>
      <w:r w:rsidRPr="00CE73DF">
        <w:t xml:space="preserve"> </w:t>
      </w:r>
      <w:r>
        <w:t xml:space="preserve">participated in </w:t>
      </w:r>
      <w:r w:rsidRPr="00CE73DF">
        <w:t xml:space="preserve">Ideas Competitions.  </w:t>
      </w:r>
    </w:p>
    <w:p w14:paraId="3C9EA55C" w14:textId="77777777" w:rsidR="00765548" w:rsidRDefault="00765548" w:rsidP="00765548">
      <w:pPr>
        <w:pStyle w:val="ListParagraph"/>
        <w:numPr>
          <w:ilvl w:val="0"/>
          <w:numId w:val="13"/>
        </w:numPr>
        <w:spacing w:after="0" w:line="240" w:lineRule="auto"/>
      </w:pPr>
      <w:r>
        <w:t>UC Merced was represented by eight student entrepreneurs a</w:t>
      </w:r>
      <w:r w:rsidRPr="00CE73DF">
        <w:t xml:space="preserve">t the </w:t>
      </w:r>
      <w:r>
        <w:t xml:space="preserve">annual </w:t>
      </w:r>
      <w:r w:rsidRPr="00CE73DF">
        <w:t xml:space="preserve">Blackstone Conference.  </w:t>
      </w:r>
    </w:p>
    <w:p w14:paraId="027EAABF" w14:textId="77777777" w:rsidR="00BA0F0A" w:rsidRDefault="00BA0F0A" w:rsidP="00765548"/>
    <w:p w14:paraId="3BD23A74" w14:textId="458B0D01" w:rsidR="00765548" w:rsidRDefault="00765548" w:rsidP="00765548">
      <w:r>
        <w:t xml:space="preserve">In the absence of incubator facilities on campus, </w:t>
      </w:r>
      <w:r w:rsidRPr="00CE73DF">
        <w:t xml:space="preserve">OTIIR </w:t>
      </w:r>
      <w:r>
        <w:t>seeks out opportunities to</w:t>
      </w:r>
      <w:r w:rsidRPr="00CE73DF">
        <w:t xml:space="preserve"> partner with other </w:t>
      </w:r>
      <w:r>
        <w:t>incubators</w:t>
      </w:r>
      <w:r w:rsidRPr="00CE73DF">
        <w:t xml:space="preserve"> such as </w:t>
      </w:r>
      <w:r>
        <w:t xml:space="preserve">IMPEL at LBL, </w:t>
      </w:r>
      <w:r w:rsidRPr="00CE73DF">
        <w:t xml:space="preserve">Bakar Labs at </w:t>
      </w:r>
      <w:r>
        <w:t xml:space="preserve">UC </w:t>
      </w:r>
      <w:r w:rsidRPr="00CE73DF">
        <w:t>Berkeley</w:t>
      </w:r>
      <w:r>
        <w:t xml:space="preserve"> and UC Irvine Beall Applied Innovation. </w:t>
      </w:r>
    </w:p>
    <w:p w14:paraId="0BF5F871" w14:textId="4CEC9729" w:rsidR="00BE56C7" w:rsidRDefault="00BE56C7"/>
    <w:sectPr w:rsidR="00BE56C7" w:rsidSect="0076554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34A2" w14:textId="77777777" w:rsidR="005C01F7" w:rsidRDefault="005C01F7" w:rsidP="00D72BB5">
      <w:pPr>
        <w:spacing w:after="0" w:line="240" w:lineRule="auto"/>
      </w:pPr>
      <w:r>
        <w:separator/>
      </w:r>
    </w:p>
  </w:endnote>
  <w:endnote w:type="continuationSeparator" w:id="0">
    <w:p w14:paraId="53EDF04C" w14:textId="77777777" w:rsidR="005C01F7" w:rsidRDefault="005C01F7" w:rsidP="00D7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6131491"/>
      <w:docPartObj>
        <w:docPartGallery w:val="Page Numbers (Bottom of Page)"/>
        <w:docPartUnique/>
      </w:docPartObj>
    </w:sdtPr>
    <w:sdtContent>
      <w:p w14:paraId="54CEF83D" w14:textId="169472CE" w:rsidR="00587061" w:rsidRDefault="00587061" w:rsidP="00A052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398C79" w14:textId="77777777" w:rsidR="00587061" w:rsidRDefault="00587061" w:rsidP="00587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1134991"/>
      <w:docPartObj>
        <w:docPartGallery w:val="Page Numbers (Bottom of Page)"/>
        <w:docPartUnique/>
      </w:docPartObj>
    </w:sdtPr>
    <w:sdtContent>
      <w:p w14:paraId="34F2B75B" w14:textId="14823237" w:rsidR="00587061" w:rsidRDefault="00587061" w:rsidP="00A052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CF246F7" w14:textId="107BD9FC" w:rsidR="00D72BB5" w:rsidRDefault="00E44191" w:rsidP="00587061">
    <w:pPr>
      <w:pStyle w:val="Footer"/>
      <w:ind w:right="360"/>
    </w:pPr>
    <w:r>
      <w:rPr>
        <w:noProof/>
      </w:rPr>
      <w:drawing>
        <wp:anchor distT="0" distB="0" distL="114300" distR="114300" simplePos="0" relativeHeight="251661312" behindDoc="0" locked="0" layoutInCell="1" allowOverlap="1" wp14:anchorId="3F913E83" wp14:editId="07A2026F">
          <wp:simplePos x="0" y="0"/>
          <wp:positionH relativeFrom="column">
            <wp:posOffset>6198042</wp:posOffset>
          </wp:positionH>
          <wp:positionV relativeFrom="paragraph">
            <wp:posOffset>15764</wp:posOffset>
          </wp:positionV>
          <wp:extent cx="1064895" cy="302149"/>
          <wp:effectExtent l="0" t="0" r="1905" b="3175"/>
          <wp:wrapNone/>
          <wp:docPr id="8" name="docshape6" descr="A yellow and black sig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docshape6" descr="A yellow and black sign&#10;&#10;Description automatically generated with low confidence"/>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7495" cy="305724"/>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0288" behindDoc="0" locked="0" layoutInCell="1" allowOverlap="1" wp14:anchorId="645591A8" wp14:editId="352C5798">
          <wp:simplePos x="0" y="0"/>
          <wp:positionH relativeFrom="column">
            <wp:posOffset>-425174</wp:posOffset>
          </wp:positionH>
          <wp:positionV relativeFrom="paragraph">
            <wp:posOffset>-86995</wp:posOffset>
          </wp:positionV>
          <wp:extent cx="654050" cy="560705"/>
          <wp:effectExtent l="0" t="0" r="0" b="0"/>
          <wp:wrapNone/>
          <wp:docPr id="5" name="docshape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ocshape5" descr="Logo&#10;&#10;Description automatically generated"/>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4050" cy="560705"/>
                  </a:xfrm>
                  <a:prstGeom prst="rect">
                    <a:avLst/>
                  </a:prstGeom>
                  <a:noFill/>
                  <a:ln>
                    <a:noFill/>
                  </a:ln>
                </pic:spPr>
              </pic:pic>
            </a:graphicData>
          </a:graphic>
          <wp14:sizeRelH relativeFrom="margin">
            <wp14:pctWidth>0</wp14:pctWidth>
          </wp14:sizeRelH>
        </wp:anchor>
      </w:drawing>
    </w:r>
    <w:r w:rsidR="00D72BB5">
      <w:rPr>
        <w:noProof/>
      </w:rPr>
      <mc:AlternateContent>
        <mc:Choice Requires="wps">
          <w:drawing>
            <wp:anchor distT="0" distB="0" distL="114300" distR="114300" simplePos="0" relativeHeight="251659264" behindDoc="0" locked="0" layoutInCell="1" allowOverlap="1" wp14:anchorId="53886398" wp14:editId="44273FA6">
              <wp:simplePos x="0" y="0"/>
              <wp:positionH relativeFrom="column">
                <wp:posOffset>-894523</wp:posOffset>
              </wp:positionH>
              <wp:positionV relativeFrom="paragraph">
                <wp:posOffset>-214823</wp:posOffset>
              </wp:positionV>
              <wp:extent cx="8245503" cy="8261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45503" cy="826135"/>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3E5EE49" id="docshape3" o:spid="_x0000_s1026" style="position:absolute;margin-left:-70.45pt;margin-top:-16.9pt;width:649.25pt;height:6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" fillcolor="#002856" stroked="f">
              <v:path arrowo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8954" w14:textId="77777777" w:rsidR="00E44191" w:rsidRDefault="00E44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4745" w14:textId="77777777" w:rsidR="005C01F7" w:rsidRDefault="005C01F7" w:rsidP="00D72BB5">
      <w:pPr>
        <w:spacing w:after="0" w:line="240" w:lineRule="auto"/>
      </w:pPr>
      <w:r>
        <w:separator/>
      </w:r>
    </w:p>
  </w:footnote>
  <w:footnote w:type="continuationSeparator" w:id="0">
    <w:p w14:paraId="4ACE7CA9" w14:textId="77777777" w:rsidR="005C01F7" w:rsidRDefault="005C01F7" w:rsidP="00D72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7926217"/>
      <w:docPartObj>
        <w:docPartGallery w:val="Page Numbers (Top of Page)"/>
        <w:docPartUnique/>
      </w:docPartObj>
    </w:sdtPr>
    <w:sdtContent>
      <w:p w14:paraId="09C3A931" w14:textId="63ECC5A4" w:rsidR="00587061" w:rsidRDefault="00587061" w:rsidP="00A052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D43360" w14:textId="77777777" w:rsidR="00587061" w:rsidRDefault="00587061" w:rsidP="005870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5165257"/>
      <w:docPartObj>
        <w:docPartGallery w:val="Page Numbers (Top of Page)"/>
        <w:docPartUnique/>
      </w:docPartObj>
    </w:sdtPr>
    <w:sdtContent>
      <w:p w14:paraId="0B4C048C" w14:textId="3DCB59C9" w:rsidR="00587061" w:rsidRDefault="00587061" w:rsidP="00A052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0FDD36" w14:textId="3B47A31C" w:rsidR="00D72BB5" w:rsidRDefault="00D72BB5" w:rsidP="00587061">
    <w:pPr>
      <w:pStyle w:val="Header"/>
      <w:ind w:right="360"/>
    </w:pPr>
    <w:r>
      <w:rPr>
        <w:noProof/>
      </w:rPr>
      <w:drawing>
        <wp:anchor distT="0" distB="0" distL="114300" distR="114300" simplePos="0" relativeHeight="251662336" behindDoc="0" locked="0" layoutInCell="1" allowOverlap="1" wp14:anchorId="46492F88" wp14:editId="71966693">
          <wp:simplePos x="0" y="0"/>
          <wp:positionH relativeFrom="column">
            <wp:posOffset>4676775</wp:posOffset>
          </wp:positionH>
          <wp:positionV relativeFrom="paragraph">
            <wp:posOffset>-447675</wp:posOffset>
          </wp:positionV>
          <wp:extent cx="2171428" cy="2260317"/>
          <wp:effectExtent l="0" t="0" r="635" b="6985"/>
          <wp:wrapThrough wrapText="bothSides">
            <wp:wrapPolygon edited="0">
              <wp:start x="0" y="0"/>
              <wp:lineTo x="0" y="182"/>
              <wp:lineTo x="5307" y="5826"/>
              <wp:lineTo x="21038" y="21485"/>
              <wp:lineTo x="21417" y="21485"/>
              <wp:lineTo x="21417" y="19664"/>
              <wp:lineTo x="19332" y="17479"/>
              <wp:lineTo x="21417" y="16387"/>
              <wp:lineTo x="21417" y="0"/>
              <wp:lineTo x="0" y="0"/>
            </wp:wrapPolygon>
          </wp:wrapThrough>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1428" cy="226031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9BCA" w14:textId="77777777" w:rsidR="00E44191" w:rsidRDefault="00E44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215F"/>
    <w:multiLevelType w:val="multilevel"/>
    <w:tmpl w:val="CE925D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AB1DC4"/>
    <w:multiLevelType w:val="hybridMultilevel"/>
    <w:tmpl w:val="6BC87656"/>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2" w15:restartNumberingAfterBreak="0">
    <w:nsid w:val="14DB3E5D"/>
    <w:multiLevelType w:val="hybridMultilevel"/>
    <w:tmpl w:val="67EE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E23FB"/>
    <w:multiLevelType w:val="multilevel"/>
    <w:tmpl w:val="DBB43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2325AB"/>
    <w:multiLevelType w:val="multilevel"/>
    <w:tmpl w:val="93CEAA4A"/>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A0E7AB4"/>
    <w:multiLevelType w:val="hybridMultilevel"/>
    <w:tmpl w:val="4F48E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F4526B"/>
    <w:multiLevelType w:val="multilevel"/>
    <w:tmpl w:val="2228AA02"/>
    <w:lvl w:ilvl="0">
      <w:start w:val="1"/>
      <w:numFmt w:val="decimal"/>
      <w:lvlText w:val="%1"/>
      <w:lvlJc w:val="left"/>
      <w:pPr>
        <w:ind w:left="360" w:hanging="360"/>
      </w:pPr>
    </w:lvl>
    <w:lvl w:ilvl="1">
      <w:start w:val="1"/>
      <w:numFmt w:val="bullet"/>
      <w:lvlText w:val="●"/>
      <w:lvlJc w:val="left"/>
      <w:pPr>
        <w:ind w:left="360" w:hanging="360"/>
      </w:pPr>
      <w:rPr>
        <w:rFonts w:ascii="Noto Sans Symbols" w:eastAsia="Noto Sans Symbols" w:hAnsi="Noto Sans Symbols" w:cs="Noto Sans Symbols"/>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7" w15:restartNumberingAfterBreak="0">
    <w:nsid w:val="4B9D0BD7"/>
    <w:multiLevelType w:val="multilevel"/>
    <w:tmpl w:val="AFDE57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D590536"/>
    <w:multiLevelType w:val="multilevel"/>
    <w:tmpl w:val="2176FFD4"/>
    <w:lvl w:ilvl="0">
      <w:start w:val="1"/>
      <w:numFmt w:val="decimal"/>
      <w:lvlText w:val="%1"/>
      <w:lvlJc w:val="left"/>
      <w:pPr>
        <w:ind w:left="360" w:hanging="360"/>
      </w:pPr>
      <w:rPr>
        <w:rFonts w:ascii="Calibri" w:eastAsia="Calibri" w:hAnsi="Calibri" w:cs="Calibri"/>
        <w:b/>
        <w:color w:val="000000"/>
      </w:rPr>
    </w:lvl>
    <w:lvl w:ilvl="1">
      <w:start w:val="1"/>
      <w:numFmt w:val="decimal"/>
      <w:lvlText w:val="%1.%2"/>
      <w:lvlJc w:val="left"/>
      <w:pPr>
        <w:ind w:left="360" w:hanging="360"/>
      </w:pPr>
      <w:rPr>
        <w:rFonts w:ascii="Calibri" w:eastAsia="Calibri" w:hAnsi="Calibri" w:cs="Calibri"/>
        <w:b/>
        <w:color w:val="000000"/>
      </w:rPr>
    </w:lvl>
    <w:lvl w:ilvl="2">
      <w:start w:val="1"/>
      <w:numFmt w:val="decimal"/>
      <w:lvlText w:val="%1.%2.%3"/>
      <w:lvlJc w:val="left"/>
      <w:pPr>
        <w:ind w:left="720" w:hanging="720"/>
      </w:pPr>
      <w:rPr>
        <w:rFonts w:ascii="Calibri" w:eastAsia="Calibri" w:hAnsi="Calibri" w:cs="Calibri"/>
        <w:b/>
        <w:color w:val="000000"/>
      </w:rPr>
    </w:lvl>
    <w:lvl w:ilvl="3">
      <w:start w:val="1"/>
      <w:numFmt w:val="decimal"/>
      <w:lvlText w:val="%1.%2.%3.%4"/>
      <w:lvlJc w:val="left"/>
      <w:pPr>
        <w:ind w:left="720" w:hanging="720"/>
      </w:pPr>
      <w:rPr>
        <w:rFonts w:ascii="Calibri" w:eastAsia="Calibri" w:hAnsi="Calibri" w:cs="Calibri"/>
        <w:b/>
        <w:color w:val="000000"/>
      </w:rPr>
    </w:lvl>
    <w:lvl w:ilvl="4">
      <w:start w:val="1"/>
      <w:numFmt w:val="decimal"/>
      <w:lvlText w:val="%1.%2.%3.%4.%5"/>
      <w:lvlJc w:val="left"/>
      <w:pPr>
        <w:ind w:left="1080" w:hanging="1080"/>
      </w:pPr>
      <w:rPr>
        <w:rFonts w:ascii="Calibri" w:eastAsia="Calibri" w:hAnsi="Calibri" w:cs="Calibri"/>
        <w:b/>
        <w:color w:val="000000"/>
      </w:rPr>
    </w:lvl>
    <w:lvl w:ilvl="5">
      <w:start w:val="1"/>
      <w:numFmt w:val="decimal"/>
      <w:lvlText w:val="%1.%2.%3.%4.%5.%6"/>
      <w:lvlJc w:val="left"/>
      <w:pPr>
        <w:ind w:left="1080" w:hanging="1080"/>
      </w:pPr>
      <w:rPr>
        <w:rFonts w:ascii="Calibri" w:eastAsia="Calibri" w:hAnsi="Calibri" w:cs="Calibri"/>
        <w:b/>
        <w:color w:val="000000"/>
      </w:rPr>
    </w:lvl>
    <w:lvl w:ilvl="6">
      <w:start w:val="1"/>
      <w:numFmt w:val="decimal"/>
      <w:lvlText w:val="%1.%2.%3.%4.%5.%6.%7"/>
      <w:lvlJc w:val="left"/>
      <w:pPr>
        <w:ind w:left="1440" w:hanging="1440"/>
      </w:pPr>
      <w:rPr>
        <w:rFonts w:ascii="Calibri" w:eastAsia="Calibri" w:hAnsi="Calibri" w:cs="Calibri"/>
        <w:b/>
        <w:color w:val="000000"/>
      </w:rPr>
    </w:lvl>
    <w:lvl w:ilvl="7">
      <w:start w:val="1"/>
      <w:numFmt w:val="decimal"/>
      <w:lvlText w:val="%1.%2.%3.%4.%5.%6.%7.%8"/>
      <w:lvlJc w:val="left"/>
      <w:pPr>
        <w:ind w:left="1440" w:hanging="1440"/>
      </w:pPr>
      <w:rPr>
        <w:rFonts w:ascii="Calibri" w:eastAsia="Calibri" w:hAnsi="Calibri" w:cs="Calibri"/>
        <w:b/>
        <w:color w:val="000000"/>
      </w:rPr>
    </w:lvl>
    <w:lvl w:ilvl="8">
      <w:start w:val="1"/>
      <w:numFmt w:val="decimal"/>
      <w:lvlText w:val="%1.%2.%3.%4.%5.%6.%7.%8.%9"/>
      <w:lvlJc w:val="left"/>
      <w:pPr>
        <w:ind w:left="1800" w:hanging="1800"/>
      </w:pPr>
      <w:rPr>
        <w:rFonts w:ascii="Calibri" w:eastAsia="Calibri" w:hAnsi="Calibri" w:cs="Calibri"/>
        <w:b/>
        <w:color w:val="000000"/>
      </w:rPr>
    </w:lvl>
  </w:abstractNum>
  <w:abstractNum w:abstractNumId="9" w15:restartNumberingAfterBreak="0">
    <w:nsid w:val="614D1422"/>
    <w:multiLevelType w:val="multilevel"/>
    <w:tmpl w:val="FD228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D05F0B"/>
    <w:multiLevelType w:val="multilevel"/>
    <w:tmpl w:val="FA1EEEE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7A986BC7"/>
    <w:multiLevelType w:val="multilevel"/>
    <w:tmpl w:val="DBB43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EC7224"/>
    <w:multiLevelType w:val="multilevel"/>
    <w:tmpl w:val="62D612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360" w:hanging="360"/>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720" w:hanging="720"/>
      </w:pPr>
    </w:lvl>
    <w:lvl w:ilvl="4">
      <w:start w:val="1"/>
      <w:numFmt w:val="decimal"/>
      <w:lvlText w:val="●.●.%3.%4.%5"/>
      <w:lvlJc w:val="left"/>
      <w:pPr>
        <w:ind w:left="1080" w:hanging="1080"/>
      </w:pPr>
    </w:lvl>
    <w:lvl w:ilvl="5">
      <w:start w:val="1"/>
      <w:numFmt w:val="decimal"/>
      <w:lvlText w:val="●.●.%3.%4.%5.%6"/>
      <w:lvlJc w:val="left"/>
      <w:pPr>
        <w:ind w:left="1080" w:hanging="1080"/>
      </w:pPr>
    </w:lvl>
    <w:lvl w:ilvl="6">
      <w:start w:val="1"/>
      <w:numFmt w:val="decimal"/>
      <w:lvlText w:val="●.●.%3.%4.%5.%6.%7"/>
      <w:lvlJc w:val="left"/>
      <w:pPr>
        <w:ind w:left="1440" w:hanging="1440"/>
      </w:pPr>
    </w:lvl>
    <w:lvl w:ilvl="7">
      <w:start w:val="1"/>
      <w:numFmt w:val="decimal"/>
      <w:lvlText w:val="●.●.%3.%4.%5.%6.%7.%8"/>
      <w:lvlJc w:val="left"/>
      <w:pPr>
        <w:ind w:left="1440" w:hanging="1440"/>
      </w:pPr>
    </w:lvl>
    <w:lvl w:ilvl="8">
      <w:start w:val="1"/>
      <w:numFmt w:val="decimal"/>
      <w:lvlText w:val="●.●.%3.%4.%5.%6.%7.%8.%9"/>
      <w:lvlJc w:val="left"/>
      <w:pPr>
        <w:ind w:left="1800" w:hanging="1800"/>
      </w:pPr>
    </w:lvl>
  </w:abstractNum>
  <w:num w:numId="1" w16cid:durableId="1585990004">
    <w:abstractNumId w:val="7"/>
  </w:num>
  <w:num w:numId="2" w16cid:durableId="447890490">
    <w:abstractNumId w:val="11"/>
  </w:num>
  <w:num w:numId="3" w16cid:durableId="948850574">
    <w:abstractNumId w:val="10"/>
  </w:num>
  <w:num w:numId="4" w16cid:durableId="1307278181">
    <w:abstractNumId w:val="6"/>
  </w:num>
  <w:num w:numId="5" w16cid:durableId="522480210">
    <w:abstractNumId w:val="12"/>
  </w:num>
  <w:num w:numId="6" w16cid:durableId="741563254">
    <w:abstractNumId w:val="8"/>
  </w:num>
  <w:num w:numId="7" w16cid:durableId="168375840">
    <w:abstractNumId w:val="0"/>
  </w:num>
  <w:num w:numId="8" w16cid:durableId="813185534">
    <w:abstractNumId w:val="9"/>
  </w:num>
  <w:num w:numId="9" w16cid:durableId="272133408">
    <w:abstractNumId w:val="3"/>
  </w:num>
  <w:num w:numId="10" w16cid:durableId="862398166">
    <w:abstractNumId w:val="4"/>
  </w:num>
  <w:num w:numId="11" w16cid:durableId="1212034715">
    <w:abstractNumId w:val="5"/>
  </w:num>
  <w:num w:numId="12" w16cid:durableId="1338116386">
    <w:abstractNumId w:val="1"/>
  </w:num>
  <w:num w:numId="13" w16cid:durableId="506407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B5"/>
    <w:rsid w:val="00181374"/>
    <w:rsid w:val="001C5C3A"/>
    <w:rsid w:val="002124D3"/>
    <w:rsid w:val="00367A19"/>
    <w:rsid w:val="00587061"/>
    <w:rsid w:val="005C01F7"/>
    <w:rsid w:val="00765548"/>
    <w:rsid w:val="007C7787"/>
    <w:rsid w:val="00917764"/>
    <w:rsid w:val="00954E95"/>
    <w:rsid w:val="00BA0F0A"/>
    <w:rsid w:val="00BE56C7"/>
    <w:rsid w:val="00C06050"/>
    <w:rsid w:val="00D72BB5"/>
    <w:rsid w:val="00E4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3715"/>
  <w15:chartTrackingRefBased/>
  <w15:docId w15:val="{B34120BE-2DE8-4F1D-AA9C-CD6C2079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B5"/>
  </w:style>
  <w:style w:type="paragraph" w:styleId="Footer">
    <w:name w:val="footer"/>
    <w:basedOn w:val="Normal"/>
    <w:link w:val="FooterChar"/>
    <w:uiPriority w:val="99"/>
    <w:unhideWhenUsed/>
    <w:rsid w:val="00D72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B5"/>
  </w:style>
  <w:style w:type="character" w:styleId="CommentReference">
    <w:name w:val="annotation reference"/>
    <w:basedOn w:val="DefaultParagraphFont"/>
    <w:uiPriority w:val="99"/>
    <w:semiHidden/>
    <w:unhideWhenUsed/>
    <w:rsid w:val="00367A19"/>
    <w:rPr>
      <w:sz w:val="16"/>
      <w:szCs w:val="16"/>
    </w:rPr>
  </w:style>
  <w:style w:type="character" w:styleId="Hyperlink">
    <w:name w:val="Hyperlink"/>
    <w:basedOn w:val="DefaultParagraphFont"/>
    <w:uiPriority w:val="99"/>
    <w:unhideWhenUsed/>
    <w:rsid w:val="00367A19"/>
    <w:rPr>
      <w:color w:val="0563C1" w:themeColor="hyperlink"/>
      <w:u w:val="single"/>
    </w:rPr>
  </w:style>
  <w:style w:type="paragraph" w:styleId="ListParagraph">
    <w:name w:val="List Paragraph"/>
    <w:basedOn w:val="Normal"/>
    <w:uiPriority w:val="34"/>
    <w:qFormat/>
    <w:rsid w:val="00367A19"/>
    <w:pPr>
      <w:ind w:left="720"/>
      <w:contextualSpacing/>
    </w:pPr>
  </w:style>
  <w:style w:type="character" w:styleId="PageNumber">
    <w:name w:val="page number"/>
    <w:basedOn w:val="DefaultParagraphFont"/>
    <w:uiPriority w:val="99"/>
    <w:semiHidden/>
    <w:unhideWhenUsed/>
    <w:rsid w:val="0058706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styleId="TableGrid">
    <w:name w:val="Table Grid"/>
    <w:basedOn w:val="TableNormal"/>
    <w:uiPriority w:val="39"/>
    <w:rsid w:val="0076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Bigg</dc:creator>
  <cp:keywords/>
  <dc:description/>
  <cp:lastModifiedBy>John Jackson</cp:lastModifiedBy>
  <cp:revision>4</cp:revision>
  <dcterms:created xsi:type="dcterms:W3CDTF">2022-10-24T16:52:00Z</dcterms:created>
  <dcterms:modified xsi:type="dcterms:W3CDTF">2022-10-24T17:11:00Z</dcterms:modified>
</cp:coreProperties>
</file>